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05" w:rsidRDefault="00B64E05"/>
    <w:p w:rsidR="00B64E05" w:rsidRDefault="00B64E05"/>
    <w:tbl>
      <w:tblPr>
        <w:tblpPr w:leftFromText="187" w:rightFromText="187" w:horzAnchor="margin" w:tblpXSpec="center" w:tblpYSpec="bottom"/>
        <w:tblW w:w="4000" w:type="pct"/>
        <w:tblLook w:val="04A0" w:firstRow="1" w:lastRow="0" w:firstColumn="1" w:lastColumn="0" w:noHBand="0" w:noVBand="1"/>
      </w:tblPr>
      <w:tblGrid>
        <w:gridCol w:w="8294"/>
      </w:tblGrid>
      <w:tr w:rsidR="00B64E05">
        <w:tc>
          <w:tcPr>
            <w:tcW w:w="7672" w:type="dxa"/>
            <w:tcMar>
              <w:top w:w="216" w:type="dxa"/>
              <w:left w:w="115" w:type="dxa"/>
              <w:bottom w:w="216" w:type="dxa"/>
              <w:right w:w="115" w:type="dxa"/>
            </w:tcMar>
          </w:tcPr>
          <w:p w:rsidR="00B64E05" w:rsidRDefault="00B64E05">
            <w:pPr>
              <w:pStyle w:val="NoSpacing"/>
              <w:rPr>
                <w:color w:val="4F81BD" w:themeColor="accent1"/>
              </w:rPr>
            </w:pPr>
          </w:p>
          <w:sdt>
            <w:sdtPr>
              <w:rPr>
                <w:color w:val="4F81BD" w:themeColor="accent1"/>
              </w:rPr>
              <w:alias w:val="Date"/>
              <w:id w:val="134069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B64E05" w:rsidRDefault="00826E1C">
                <w:pPr>
                  <w:pStyle w:val="NoSpacing"/>
                  <w:rPr>
                    <w:color w:val="4F81BD" w:themeColor="accent1"/>
                  </w:rPr>
                </w:pPr>
                <w:r>
                  <w:rPr>
                    <w:color w:val="4F81BD" w:themeColor="accent1"/>
                  </w:rPr>
                  <w:t>2013/14</w:t>
                </w:r>
              </w:p>
            </w:sdtContent>
          </w:sdt>
          <w:p w:rsidR="00B64E05" w:rsidRDefault="00B64E05">
            <w:pPr>
              <w:pStyle w:val="NoSpacing"/>
              <w:rPr>
                <w:color w:val="4F81BD" w:themeColor="accent1"/>
              </w:rPr>
            </w:pPr>
          </w:p>
        </w:tc>
      </w:tr>
    </w:tbl>
    <w:p w:rsidR="00B64E05" w:rsidRDefault="00B64E05"/>
    <w:p w:rsidR="00130960" w:rsidRDefault="007C3032" w:rsidP="007C3032">
      <w:pPr>
        <w:jc w:val="right"/>
        <w:rPr>
          <w:b/>
          <w:snapToGrid w:val="0"/>
          <w:sz w:val="28"/>
          <w:lang w:eastAsia="en-US"/>
        </w:rPr>
      </w:pPr>
      <w:bookmarkStart w:id="0" w:name="_GoBack"/>
      <w:bookmarkEnd w:id="0"/>
      <w:r>
        <w:rPr>
          <w:b/>
          <w:snapToGrid w:val="0"/>
          <w:sz w:val="28"/>
          <w:lang w:eastAsia="en-US"/>
        </w:rPr>
        <w:t>Appendix 'A'</w:t>
      </w:r>
    </w:p>
    <w:p w:rsidR="00921A4F" w:rsidRPr="00921A4F" w:rsidRDefault="00921A4F">
      <w:pPr>
        <w:rPr>
          <w:sz w:val="28"/>
          <w:lang w:eastAsia="en-US"/>
        </w:rPr>
      </w:pPr>
    </w:p>
    <w:p w:rsidR="00921A4F" w:rsidRPr="00921A4F" w:rsidRDefault="00921A4F">
      <w:pPr>
        <w:rPr>
          <w:sz w:val="28"/>
          <w:lang w:eastAsia="en-US"/>
        </w:rPr>
      </w:pPr>
    </w:p>
    <w:p w:rsidR="00921A4F" w:rsidRPr="00921A4F" w:rsidRDefault="00921A4F">
      <w:pPr>
        <w:rPr>
          <w:sz w:val="28"/>
          <w:lang w:eastAsia="en-US"/>
        </w:rPr>
      </w:pPr>
    </w:p>
    <w:p w:rsidR="00130960" w:rsidRDefault="00130960" w:rsidP="007E348B">
      <w:pPr>
        <w:rPr>
          <w:sz w:val="28"/>
          <w:lang w:eastAsia="en-US"/>
        </w:rPr>
      </w:pPr>
    </w:p>
    <w:p w:rsidR="00130960" w:rsidRDefault="00130960" w:rsidP="007E348B">
      <w:pPr>
        <w:rPr>
          <w:sz w:val="28"/>
          <w:lang w:eastAsia="en-US"/>
        </w:rPr>
      </w:pPr>
    </w:p>
    <w:p w:rsidR="00E31FB3" w:rsidRDefault="00130960">
      <w:pPr>
        <w:tabs>
          <w:tab w:val="left" w:pos="3990"/>
        </w:tabs>
        <w:rPr>
          <w:sz w:val="28"/>
          <w:lang w:eastAsia="en-US"/>
        </w:rPr>
      </w:pPr>
      <w:r>
        <w:rPr>
          <w:sz w:val="28"/>
          <w:lang w:eastAsia="en-US"/>
        </w:rPr>
        <w:tab/>
      </w:r>
    </w:p>
    <w:p w:rsidR="00E31FB3" w:rsidRDefault="00E31FB3">
      <w:pPr>
        <w:tabs>
          <w:tab w:val="left" w:pos="3990"/>
        </w:tabs>
        <w:rPr>
          <w:sz w:val="28"/>
          <w:lang w:eastAsia="en-US"/>
        </w:rPr>
      </w:pPr>
    </w:p>
    <w:p w:rsidR="00E31FB3" w:rsidRDefault="00E31FB3">
      <w:pPr>
        <w:tabs>
          <w:tab w:val="left" w:pos="3990"/>
        </w:tabs>
        <w:rPr>
          <w:sz w:val="28"/>
          <w:lang w:eastAsia="en-US"/>
        </w:rPr>
      </w:pPr>
    </w:p>
    <w:p w:rsidR="00E31FB3" w:rsidRDefault="00AA045D">
      <w:pPr>
        <w:tabs>
          <w:tab w:val="left" w:pos="3990"/>
        </w:tabs>
        <w:ind w:left="567"/>
        <w:jc w:val="center"/>
        <w:rPr>
          <w:sz w:val="52"/>
          <w:szCs w:val="52"/>
          <w:lang w:eastAsia="en-US"/>
        </w:rPr>
      </w:pPr>
      <w:r w:rsidRPr="00AA045D">
        <w:rPr>
          <w:sz w:val="52"/>
          <w:szCs w:val="52"/>
          <w:lang w:eastAsia="en-US"/>
        </w:rPr>
        <w:t>Lancashire County Pension Fund</w:t>
      </w:r>
    </w:p>
    <w:p w:rsidR="00E31FB3" w:rsidRDefault="00E31FB3">
      <w:pPr>
        <w:tabs>
          <w:tab w:val="left" w:pos="3990"/>
        </w:tabs>
        <w:ind w:left="567"/>
        <w:jc w:val="center"/>
        <w:rPr>
          <w:sz w:val="52"/>
          <w:szCs w:val="52"/>
          <w:lang w:eastAsia="en-US"/>
        </w:rPr>
      </w:pPr>
    </w:p>
    <w:p w:rsidR="00E31FB3" w:rsidRDefault="00AA045D">
      <w:pPr>
        <w:tabs>
          <w:tab w:val="left" w:pos="3990"/>
        </w:tabs>
        <w:ind w:left="567"/>
        <w:jc w:val="center"/>
        <w:rPr>
          <w:sz w:val="52"/>
          <w:szCs w:val="52"/>
          <w:lang w:eastAsia="en-US"/>
        </w:rPr>
      </w:pPr>
      <w:r w:rsidRPr="00AA045D">
        <w:rPr>
          <w:sz w:val="52"/>
          <w:szCs w:val="52"/>
          <w:lang w:eastAsia="en-US"/>
        </w:rPr>
        <w:t>Annual Report</w:t>
      </w:r>
    </w:p>
    <w:p w:rsidR="00E31FB3" w:rsidRDefault="00E31FB3">
      <w:pPr>
        <w:tabs>
          <w:tab w:val="left" w:pos="3990"/>
        </w:tabs>
        <w:jc w:val="center"/>
        <w:rPr>
          <w:sz w:val="40"/>
          <w:szCs w:val="40"/>
          <w:lang w:eastAsia="en-US"/>
        </w:rPr>
      </w:pPr>
    </w:p>
    <w:p w:rsidR="00E31FB3" w:rsidRDefault="00351FD6">
      <w:pPr>
        <w:tabs>
          <w:tab w:val="left" w:pos="3990"/>
        </w:tabs>
        <w:ind w:left="567"/>
        <w:jc w:val="center"/>
        <w:rPr>
          <w:sz w:val="52"/>
          <w:szCs w:val="52"/>
          <w:lang w:eastAsia="en-US"/>
        </w:rPr>
      </w:pPr>
      <w:r>
        <w:rPr>
          <w:sz w:val="52"/>
          <w:szCs w:val="52"/>
          <w:lang w:eastAsia="en-US"/>
        </w:rPr>
        <w:t>2013/14</w:t>
      </w:r>
    </w:p>
    <w:p w:rsidR="00CF692A" w:rsidRDefault="00CF692A" w:rsidP="007E348B">
      <w:pPr>
        <w:rPr>
          <w:sz w:val="28"/>
          <w:lang w:eastAsia="en-US"/>
        </w:rPr>
      </w:pPr>
    </w:p>
    <w:p w:rsidR="00CF692A" w:rsidRPr="00CF692A" w:rsidRDefault="00CF692A" w:rsidP="00CF692A">
      <w:pPr>
        <w:rPr>
          <w:sz w:val="28"/>
          <w:lang w:eastAsia="en-US"/>
        </w:rPr>
      </w:pPr>
    </w:p>
    <w:p w:rsidR="00CF692A" w:rsidRDefault="00CF692A" w:rsidP="007E348B">
      <w:pPr>
        <w:rPr>
          <w:sz w:val="28"/>
          <w:lang w:eastAsia="en-US"/>
        </w:rPr>
      </w:pPr>
    </w:p>
    <w:p w:rsidR="00CF692A" w:rsidRDefault="00CF692A" w:rsidP="00FA67FD">
      <w:pPr>
        <w:tabs>
          <w:tab w:val="left" w:pos="7620"/>
        </w:tabs>
        <w:rPr>
          <w:sz w:val="28"/>
          <w:lang w:eastAsia="en-US"/>
        </w:rPr>
      </w:pPr>
      <w:r>
        <w:rPr>
          <w:sz w:val="28"/>
          <w:lang w:eastAsia="en-US"/>
        </w:rPr>
        <w:tab/>
      </w:r>
    </w:p>
    <w:p w:rsidR="00B64E05" w:rsidRDefault="00AA045D" w:rsidP="007E348B">
      <w:pPr>
        <w:rPr>
          <w:b/>
          <w:snapToGrid w:val="0"/>
          <w:sz w:val="28"/>
          <w:lang w:eastAsia="en-US"/>
        </w:rPr>
      </w:pPr>
      <w:r w:rsidRPr="00CF692A">
        <w:rPr>
          <w:sz w:val="28"/>
          <w:lang w:eastAsia="en-US"/>
        </w:rPr>
        <w:br w:type="page"/>
      </w:r>
    </w:p>
    <w:p w:rsidR="000312BC" w:rsidRDefault="003B412F" w:rsidP="007E348B">
      <w:pPr>
        <w:rPr>
          <w:b/>
          <w:snapToGrid w:val="0"/>
          <w:sz w:val="28"/>
          <w:lang w:eastAsia="en-US"/>
        </w:rPr>
      </w:pPr>
      <w:r>
        <w:rPr>
          <w:b/>
          <w:snapToGrid w:val="0"/>
          <w:sz w:val="28"/>
          <w:lang w:eastAsia="en-US"/>
        </w:rPr>
        <w:lastRenderedPageBreak/>
        <w:t xml:space="preserve">Lancashire County Pension Fund </w:t>
      </w:r>
    </w:p>
    <w:p w:rsidR="000312BC" w:rsidRDefault="000312BC" w:rsidP="007E348B">
      <w:pPr>
        <w:rPr>
          <w:b/>
          <w:snapToGrid w:val="0"/>
          <w:sz w:val="28"/>
          <w:lang w:eastAsia="en-US"/>
        </w:rPr>
      </w:pPr>
    </w:p>
    <w:p w:rsidR="003B412F" w:rsidRDefault="00502734" w:rsidP="007E348B">
      <w:pPr>
        <w:rPr>
          <w:b/>
          <w:snapToGrid w:val="0"/>
          <w:sz w:val="28"/>
          <w:lang w:eastAsia="en-US"/>
        </w:rPr>
      </w:pPr>
      <w:r>
        <w:rPr>
          <w:b/>
          <w:snapToGrid w:val="0"/>
          <w:sz w:val="28"/>
          <w:lang w:eastAsia="en-US"/>
        </w:rPr>
        <w:t>Annual Report</w:t>
      </w:r>
      <w:r w:rsidR="000312BC">
        <w:rPr>
          <w:b/>
          <w:snapToGrid w:val="0"/>
          <w:sz w:val="28"/>
          <w:lang w:eastAsia="en-US"/>
        </w:rPr>
        <w:t xml:space="preserve"> </w:t>
      </w:r>
      <w:r w:rsidR="00351FD6">
        <w:rPr>
          <w:b/>
          <w:snapToGrid w:val="0"/>
          <w:sz w:val="28"/>
          <w:lang w:eastAsia="en-US"/>
        </w:rPr>
        <w:t>2013/14</w:t>
      </w:r>
    </w:p>
    <w:p w:rsidR="003B412F" w:rsidRDefault="003B412F" w:rsidP="007E348B">
      <w:pPr>
        <w:rPr>
          <w:b/>
          <w:snapToGrid w:val="0"/>
          <w:sz w:val="28"/>
          <w:lang w:eastAsia="en-US"/>
        </w:rPr>
      </w:pPr>
    </w:p>
    <w:p w:rsidR="00454CB3" w:rsidRDefault="00454CB3" w:rsidP="007E348B">
      <w:pPr>
        <w:rPr>
          <w:b/>
          <w:snapToGrid w:val="0"/>
          <w:sz w:val="28"/>
          <w:lang w:eastAsia="en-US"/>
        </w:rPr>
      </w:pPr>
      <w:r>
        <w:rPr>
          <w:b/>
          <w:snapToGrid w:val="0"/>
          <w:sz w:val="28"/>
          <w:lang w:eastAsia="en-US"/>
        </w:rPr>
        <w:t>Contents</w:t>
      </w:r>
    </w:p>
    <w:p w:rsidR="00454CB3" w:rsidRDefault="00454CB3" w:rsidP="007E348B">
      <w:pPr>
        <w:rPr>
          <w:b/>
          <w:snapToGrid w:val="0"/>
          <w:sz w:val="28"/>
          <w:lang w:eastAsia="en-US"/>
        </w:rPr>
      </w:pPr>
    </w:p>
    <w:p w:rsidR="00454CB3" w:rsidRDefault="00454CB3" w:rsidP="007E348B">
      <w:pPr>
        <w:rPr>
          <w:b/>
          <w:snapToGrid w:val="0"/>
          <w:sz w:val="28"/>
          <w:lang w:eastAsia="en-US"/>
        </w:rPr>
      </w:pPr>
    </w:p>
    <w:tbl>
      <w:tblPr>
        <w:tblW w:w="0" w:type="auto"/>
        <w:tblLook w:val="04A0" w:firstRow="1" w:lastRow="0" w:firstColumn="1" w:lastColumn="0" w:noHBand="0" w:noVBand="1"/>
      </w:tblPr>
      <w:tblGrid>
        <w:gridCol w:w="1101"/>
        <w:gridCol w:w="6945"/>
        <w:gridCol w:w="1807"/>
      </w:tblGrid>
      <w:tr w:rsidR="00454CB3" w:rsidRPr="00EE6828" w:rsidTr="00AE3653">
        <w:tc>
          <w:tcPr>
            <w:tcW w:w="1101" w:type="dxa"/>
          </w:tcPr>
          <w:p w:rsidR="00454CB3" w:rsidRPr="00EE6828" w:rsidRDefault="00454CB3" w:rsidP="007E348B">
            <w:pPr>
              <w:rPr>
                <w:b/>
                <w:snapToGrid w:val="0"/>
                <w:szCs w:val="24"/>
                <w:lang w:eastAsia="en-US"/>
              </w:rPr>
            </w:pPr>
            <w:r w:rsidRPr="00EE6828">
              <w:rPr>
                <w:b/>
                <w:snapToGrid w:val="0"/>
                <w:szCs w:val="24"/>
                <w:lang w:eastAsia="en-US"/>
              </w:rPr>
              <w:t>Section</w:t>
            </w:r>
          </w:p>
        </w:tc>
        <w:tc>
          <w:tcPr>
            <w:tcW w:w="6945" w:type="dxa"/>
          </w:tcPr>
          <w:p w:rsidR="00454CB3" w:rsidRPr="00EE6828" w:rsidRDefault="00454CB3" w:rsidP="00EE6828">
            <w:pPr>
              <w:jc w:val="center"/>
              <w:rPr>
                <w:b/>
                <w:snapToGrid w:val="0"/>
                <w:szCs w:val="24"/>
                <w:lang w:eastAsia="en-US"/>
              </w:rPr>
            </w:pPr>
            <w:r w:rsidRPr="00EE6828">
              <w:rPr>
                <w:b/>
                <w:snapToGrid w:val="0"/>
                <w:szCs w:val="24"/>
                <w:lang w:eastAsia="en-US"/>
              </w:rPr>
              <w:t>Description</w:t>
            </w:r>
          </w:p>
        </w:tc>
        <w:tc>
          <w:tcPr>
            <w:tcW w:w="1807" w:type="dxa"/>
          </w:tcPr>
          <w:p w:rsidR="00454CB3" w:rsidRPr="00EE6828" w:rsidRDefault="00454CB3" w:rsidP="00EE6828">
            <w:pPr>
              <w:jc w:val="center"/>
              <w:rPr>
                <w:b/>
                <w:snapToGrid w:val="0"/>
                <w:szCs w:val="24"/>
                <w:lang w:eastAsia="en-US"/>
              </w:rPr>
            </w:pPr>
            <w:r w:rsidRPr="00EE6828">
              <w:rPr>
                <w:b/>
                <w:snapToGrid w:val="0"/>
                <w:szCs w:val="24"/>
                <w:lang w:eastAsia="en-US"/>
              </w:rPr>
              <w:t>Page</w:t>
            </w:r>
          </w:p>
        </w:tc>
      </w:tr>
      <w:tr w:rsidR="00454CB3" w:rsidRPr="00EE6828" w:rsidTr="00AE3653">
        <w:tc>
          <w:tcPr>
            <w:tcW w:w="1101" w:type="dxa"/>
          </w:tcPr>
          <w:p w:rsidR="00454CB3" w:rsidRPr="00EE6828" w:rsidRDefault="00454CB3" w:rsidP="007E348B">
            <w:pPr>
              <w:rPr>
                <w:b/>
                <w:snapToGrid w:val="0"/>
                <w:szCs w:val="24"/>
                <w:lang w:eastAsia="en-US"/>
              </w:rPr>
            </w:pPr>
          </w:p>
        </w:tc>
        <w:tc>
          <w:tcPr>
            <w:tcW w:w="6945" w:type="dxa"/>
          </w:tcPr>
          <w:p w:rsidR="00454CB3" w:rsidRPr="00EE6828" w:rsidRDefault="00454CB3" w:rsidP="007E348B">
            <w:pPr>
              <w:rPr>
                <w:b/>
                <w:snapToGrid w:val="0"/>
                <w:szCs w:val="24"/>
                <w:lang w:eastAsia="en-US"/>
              </w:rPr>
            </w:pPr>
          </w:p>
        </w:tc>
        <w:tc>
          <w:tcPr>
            <w:tcW w:w="1807" w:type="dxa"/>
          </w:tcPr>
          <w:p w:rsidR="00454CB3" w:rsidRPr="00EE6828" w:rsidRDefault="00454CB3" w:rsidP="00EE6828">
            <w:pPr>
              <w:jc w:val="center"/>
              <w:rPr>
                <w:b/>
                <w:snapToGrid w:val="0"/>
                <w:szCs w:val="24"/>
                <w:lang w:eastAsia="en-US"/>
              </w:rPr>
            </w:pPr>
          </w:p>
        </w:tc>
      </w:tr>
      <w:tr w:rsidR="00454CB3" w:rsidRPr="00A57A9C" w:rsidTr="00AE3653">
        <w:tc>
          <w:tcPr>
            <w:tcW w:w="1101" w:type="dxa"/>
          </w:tcPr>
          <w:p w:rsidR="00454CB3" w:rsidRPr="00811FEA" w:rsidRDefault="00454CB3" w:rsidP="007E348B">
            <w:pPr>
              <w:rPr>
                <w:b/>
                <w:snapToGrid w:val="0"/>
                <w:szCs w:val="24"/>
                <w:lang w:eastAsia="en-US"/>
              </w:rPr>
            </w:pPr>
            <w:r w:rsidRPr="00811FEA">
              <w:rPr>
                <w:b/>
                <w:snapToGrid w:val="0"/>
                <w:szCs w:val="24"/>
                <w:lang w:eastAsia="en-US"/>
              </w:rPr>
              <w:t>A</w:t>
            </w:r>
          </w:p>
        </w:tc>
        <w:tc>
          <w:tcPr>
            <w:tcW w:w="6945" w:type="dxa"/>
          </w:tcPr>
          <w:p w:rsidR="00454CB3" w:rsidRPr="00811FEA" w:rsidRDefault="00454CB3" w:rsidP="007E348B">
            <w:pPr>
              <w:rPr>
                <w:b/>
                <w:snapToGrid w:val="0"/>
                <w:szCs w:val="24"/>
                <w:lang w:eastAsia="en-US"/>
              </w:rPr>
            </w:pPr>
            <w:r w:rsidRPr="00811FEA">
              <w:rPr>
                <w:b/>
                <w:snapToGrid w:val="0"/>
                <w:szCs w:val="24"/>
                <w:lang w:eastAsia="en-US"/>
              </w:rPr>
              <w:t>Management Structure</w:t>
            </w:r>
          </w:p>
        </w:tc>
        <w:tc>
          <w:tcPr>
            <w:tcW w:w="1807" w:type="dxa"/>
          </w:tcPr>
          <w:p w:rsidR="00454CB3" w:rsidRPr="00905671" w:rsidRDefault="004B3F2D" w:rsidP="00EE6828">
            <w:pPr>
              <w:jc w:val="center"/>
              <w:rPr>
                <w:b/>
                <w:snapToGrid w:val="0"/>
                <w:szCs w:val="24"/>
                <w:lang w:eastAsia="en-US"/>
              </w:rPr>
            </w:pPr>
            <w:r>
              <w:rPr>
                <w:b/>
                <w:snapToGrid w:val="0"/>
                <w:szCs w:val="24"/>
                <w:lang w:eastAsia="en-US"/>
              </w:rPr>
              <w:t>3</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905671" w:rsidRDefault="00454CB3" w:rsidP="00EE6828">
            <w:pPr>
              <w:jc w:val="center"/>
              <w:rPr>
                <w:b/>
                <w:snapToGrid w:val="0"/>
                <w:szCs w:val="24"/>
                <w:lang w:eastAsia="en-US"/>
              </w:rPr>
            </w:pPr>
          </w:p>
        </w:tc>
      </w:tr>
      <w:tr w:rsidR="00454CB3" w:rsidRPr="00A57A9C" w:rsidTr="00AE3653">
        <w:tc>
          <w:tcPr>
            <w:tcW w:w="1101" w:type="dxa"/>
          </w:tcPr>
          <w:p w:rsidR="00454CB3" w:rsidRPr="00A63817" w:rsidRDefault="00454CB3" w:rsidP="007E348B">
            <w:pPr>
              <w:rPr>
                <w:b/>
                <w:snapToGrid w:val="0"/>
                <w:szCs w:val="24"/>
                <w:lang w:eastAsia="en-US"/>
              </w:rPr>
            </w:pPr>
            <w:r w:rsidRPr="00A63817">
              <w:rPr>
                <w:b/>
                <w:snapToGrid w:val="0"/>
                <w:szCs w:val="24"/>
                <w:lang w:eastAsia="en-US"/>
              </w:rPr>
              <w:t>B</w:t>
            </w:r>
          </w:p>
        </w:tc>
        <w:tc>
          <w:tcPr>
            <w:tcW w:w="6945" w:type="dxa"/>
          </w:tcPr>
          <w:p w:rsidR="00454CB3" w:rsidRPr="00A63817" w:rsidRDefault="000F6522" w:rsidP="00454CB3">
            <w:pPr>
              <w:rPr>
                <w:b/>
                <w:snapToGrid w:val="0"/>
                <w:szCs w:val="24"/>
                <w:lang w:eastAsia="en-US"/>
              </w:rPr>
            </w:pPr>
            <w:r>
              <w:rPr>
                <w:b/>
                <w:snapToGrid w:val="0"/>
                <w:szCs w:val="24"/>
                <w:lang w:eastAsia="en-US"/>
              </w:rPr>
              <w:t>Foreword by the Chair of the Pension Fund Committee and Treasurer to the Pension Fund</w:t>
            </w:r>
          </w:p>
        </w:tc>
        <w:tc>
          <w:tcPr>
            <w:tcW w:w="1807" w:type="dxa"/>
          </w:tcPr>
          <w:p w:rsidR="00454CB3" w:rsidRPr="00905671" w:rsidRDefault="004B3F2D" w:rsidP="00EE6828">
            <w:pPr>
              <w:jc w:val="center"/>
              <w:rPr>
                <w:b/>
                <w:snapToGrid w:val="0"/>
                <w:szCs w:val="24"/>
                <w:lang w:eastAsia="en-US"/>
              </w:rPr>
            </w:pPr>
            <w:r>
              <w:rPr>
                <w:b/>
                <w:snapToGrid w:val="0"/>
                <w:szCs w:val="24"/>
                <w:lang w:eastAsia="en-US"/>
              </w:rPr>
              <w:t>4</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63817" w:rsidRDefault="00454CB3" w:rsidP="007E348B">
            <w:pPr>
              <w:rPr>
                <w:b/>
                <w:snapToGrid w:val="0"/>
                <w:szCs w:val="24"/>
                <w:lang w:eastAsia="en-US"/>
              </w:rPr>
            </w:pPr>
          </w:p>
        </w:tc>
        <w:tc>
          <w:tcPr>
            <w:tcW w:w="1807" w:type="dxa"/>
          </w:tcPr>
          <w:p w:rsidR="00454CB3" w:rsidRPr="00E21C30" w:rsidRDefault="00454CB3" w:rsidP="00EE6828">
            <w:pPr>
              <w:jc w:val="center"/>
              <w:rPr>
                <w:b/>
                <w:snapToGrid w:val="0"/>
                <w:szCs w:val="24"/>
                <w:highlight w:val="yellow"/>
                <w:lang w:eastAsia="en-US"/>
              </w:rPr>
            </w:pPr>
          </w:p>
        </w:tc>
      </w:tr>
      <w:tr w:rsidR="00454CB3" w:rsidRPr="00A57A9C" w:rsidTr="00AE3653">
        <w:tc>
          <w:tcPr>
            <w:tcW w:w="1101" w:type="dxa"/>
          </w:tcPr>
          <w:p w:rsidR="00454CB3" w:rsidRPr="00FC2CFF" w:rsidRDefault="00454CB3" w:rsidP="007E348B">
            <w:pPr>
              <w:rPr>
                <w:b/>
                <w:snapToGrid w:val="0"/>
                <w:szCs w:val="24"/>
                <w:lang w:eastAsia="en-US"/>
              </w:rPr>
            </w:pPr>
            <w:r w:rsidRPr="00FC2CFF">
              <w:rPr>
                <w:b/>
                <w:snapToGrid w:val="0"/>
                <w:szCs w:val="24"/>
                <w:lang w:eastAsia="en-US"/>
              </w:rPr>
              <w:t>C</w:t>
            </w:r>
          </w:p>
        </w:tc>
        <w:tc>
          <w:tcPr>
            <w:tcW w:w="6945" w:type="dxa"/>
          </w:tcPr>
          <w:p w:rsidR="00454CB3" w:rsidRPr="00FC2CFF" w:rsidRDefault="00454CB3" w:rsidP="007E348B">
            <w:pPr>
              <w:rPr>
                <w:b/>
                <w:snapToGrid w:val="0"/>
                <w:szCs w:val="24"/>
                <w:lang w:eastAsia="en-US"/>
              </w:rPr>
            </w:pPr>
            <w:r w:rsidRPr="00FC2CFF">
              <w:rPr>
                <w:b/>
                <w:snapToGrid w:val="0"/>
                <w:szCs w:val="24"/>
                <w:lang w:eastAsia="en-US"/>
              </w:rPr>
              <w:t>Governance of the Fund</w:t>
            </w:r>
          </w:p>
        </w:tc>
        <w:tc>
          <w:tcPr>
            <w:tcW w:w="1807" w:type="dxa"/>
          </w:tcPr>
          <w:p w:rsidR="00454CB3" w:rsidRPr="00E21C30" w:rsidRDefault="004B3F2D" w:rsidP="00EE6828">
            <w:pPr>
              <w:jc w:val="center"/>
              <w:rPr>
                <w:b/>
                <w:snapToGrid w:val="0"/>
                <w:szCs w:val="24"/>
                <w:highlight w:val="yellow"/>
                <w:lang w:eastAsia="en-US"/>
              </w:rPr>
            </w:pPr>
            <w:r>
              <w:rPr>
                <w:b/>
                <w:snapToGrid w:val="0"/>
                <w:szCs w:val="24"/>
                <w:lang w:eastAsia="en-US"/>
              </w:rPr>
              <w:t>6</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E21C30" w:rsidRDefault="00454CB3" w:rsidP="00EE6828">
            <w:pPr>
              <w:jc w:val="center"/>
              <w:rPr>
                <w:b/>
                <w:snapToGrid w:val="0"/>
                <w:szCs w:val="24"/>
                <w:highlight w:val="yellow"/>
                <w:lang w:eastAsia="en-US"/>
              </w:rPr>
            </w:pPr>
          </w:p>
        </w:tc>
      </w:tr>
      <w:tr w:rsidR="00454CB3" w:rsidRPr="00A57A9C" w:rsidTr="00AE3653">
        <w:tc>
          <w:tcPr>
            <w:tcW w:w="1101" w:type="dxa"/>
          </w:tcPr>
          <w:p w:rsidR="00454CB3" w:rsidRPr="00FB0AFF" w:rsidRDefault="00454CB3" w:rsidP="007E348B">
            <w:pPr>
              <w:rPr>
                <w:b/>
                <w:snapToGrid w:val="0"/>
                <w:szCs w:val="24"/>
                <w:lang w:eastAsia="en-US"/>
              </w:rPr>
            </w:pPr>
            <w:r w:rsidRPr="00FB0AFF">
              <w:rPr>
                <w:b/>
                <w:snapToGrid w:val="0"/>
                <w:szCs w:val="24"/>
                <w:lang w:eastAsia="en-US"/>
              </w:rPr>
              <w:t>D</w:t>
            </w:r>
          </w:p>
        </w:tc>
        <w:tc>
          <w:tcPr>
            <w:tcW w:w="6945" w:type="dxa"/>
          </w:tcPr>
          <w:p w:rsidR="00454CB3" w:rsidRPr="00FB0AFF" w:rsidRDefault="00454CB3" w:rsidP="007E348B">
            <w:pPr>
              <w:rPr>
                <w:b/>
                <w:snapToGrid w:val="0"/>
                <w:szCs w:val="24"/>
                <w:lang w:eastAsia="en-US"/>
              </w:rPr>
            </w:pPr>
            <w:r w:rsidRPr="00FB0AFF">
              <w:rPr>
                <w:b/>
                <w:snapToGrid w:val="0"/>
                <w:szCs w:val="24"/>
                <w:lang w:eastAsia="en-US"/>
              </w:rPr>
              <w:t>Administration of the Fund</w:t>
            </w:r>
          </w:p>
        </w:tc>
        <w:tc>
          <w:tcPr>
            <w:tcW w:w="1807" w:type="dxa"/>
          </w:tcPr>
          <w:p w:rsidR="00454CB3" w:rsidRPr="008914C2" w:rsidRDefault="00D40926" w:rsidP="00EE6828">
            <w:pPr>
              <w:jc w:val="center"/>
              <w:rPr>
                <w:b/>
                <w:snapToGrid w:val="0"/>
                <w:szCs w:val="24"/>
                <w:lang w:eastAsia="en-US"/>
              </w:rPr>
            </w:pPr>
            <w:r>
              <w:rPr>
                <w:b/>
                <w:snapToGrid w:val="0"/>
                <w:szCs w:val="24"/>
                <w:lang w:eastAsia="en-US"/>
              </w:rPr>
              <w:t>9</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914C2" w:rsidRDefault="00454CB3" w:rsidP="00EE6828">
            <w:pPr>
              <w:jc w:val="center"/>
              <w:rPr>
                <w:b/>
                <w:snapToGrid w:val="0"/>
                <w:szCs w:val="24"/>
                <w:lang w:eastAsia="en-US"/>
              </w:rPr>
            </w:pPr>
          </w:p>
        </w:tc>
      </w:tr>
      <w:tr w:rsidR="00AE3653" w:rsidRPr="00A57A9C" w:rsidTr="00AE3653">
        <w:tc>
          <w:tcPr>
            <w:tcW w:w="1101" w:type="dxa"/>
          </w:tcPr>
          <w:p w:rsidR="00AE3653" w:rsidRPr="00A63817" w:rsidRDefault="00AE3653" w:rsidP="007E348B">
            <w:pPr>
              <w:rPr>
                <w:b/>
                <w:snapToGrid w:val="0"/>
                <w:szCs w:val="24"/>
                <w:lang w:eastAsia="en-US"/>
              </w:rPr>
            </w:pPr>
            <w:r>
              <w:rPr>
                <w:b/>
                <w:snapToGrid w:val="0"/>
                <w:szCs w:val="24"/>
                <w:lang w:eastAsia="en-US"/>
              </w:rPr>
              <w:t>E</w:t>
            </w:r>
          </w:p>
        </w:tc>
        <w:tc>
          <w:tcPr>
            <w:tcW w:w="6945" w:type="dxa"/>
          </w:tcPr>
          <w:p w:rsidR="00AE3653" w:rsidRPr="00A63817" w:rsidRDefault="00AE3653" w:rsidP="007E348B">
            <w:pPr>
              <w:rPr>
                <w:b/>
                <w:snapToGrid w:val="0"/>
                <w:szCs w:val="24"/>
                <w:lang w:eastAsia="en-US"/>
              </w:rPr>
            </w:pPr>
            <w:r>
              <w:rPr>
                <w:b/>
                <w:snapToGrid w:val="0"/>
                <w:szCs w:val="24"/>
                <w:lang w:eastAsia="en-US"/>
              </w:rPr>
              <w:t>Knowledge and Skills Framework</w:t>
            </w:r>
          </w:p>
        </w:tc>
        <w:tc>
          <w:tcPr>
            <w:tcW w:w="1807" w:type="dxa"/>
          </w:tcPr>
          <w:p w:rsidR="00AE3653" w:rsidRPr="00C7674F" w:rsidRDefault="004B3F2D" w:rsidP="00FC2CFF">
            <w:pPr>
              <w:jc w:val="center"/>
              <w:rPr>
                <w:b/>
                <w:snapToGrid w:val="0"/>
                <w:szCs w:val="24"/>
                <w:lang w:eastAsia="en-US"/>
              </w:rPr>
            </w:pPr>
            <w:r>
              <w:rPr>
                <w:b/>
                <w:snapToGrid w:val="0"/>
                <w:szCs w:val="24"/>
                <w:lang w:eastAsia="en-US"/>
              </w:rPr>
              <w:t>14</w:t>
            </w:r>
          </w:p>
        </w:tc>
      </w:tr>
      <w:tr w:rsidR="00AE3653" w:rsidRPr="00A57A9C" w:rsidTr="00AE3653">
        <w:tc>
          <w:tcPr>
            <w:tcW w:w="1101" w:type="dxa"/>
          </w:tcPr>
          <w:p w:rsidR="00AE3653" w:rsidRPr="00A63817" w:rsidRDefault="00AE3653" w:rsidP="007E348B">
            <w:pPr>
              <w:rPr>
                <w:b/>
                <w:snapToGrid w:val="0"/>
                <w:szCs w:val="24"/>
                <w:lang w:eastAsia="en-US"/>
              </w:rPr>
            </w:pPr>
          </w:p>
        </w:tc>
        <w:tc>
          <w:tcPr>
            <w:tcW w:w="6945" w:type="dxa"/>
          </w:tcPr>
          <w:p w:rsidR="00AE3653" w:rsidRPr="00A63817" w:rsidRDefault="00AE3653" w:rsidP="007E348B">
            <w:pPr>
              <w:rPr>
                <w:b/>
                <w:snapToGrid w:val="0"/>
                <w:szCs w:val="24"/>
                <w:lang w:eastAsia="en-US"/>
              </w:rPr>
            </w:pPr>
          </w:p>
        </w:tc>
        <w:tc>
          <w:tcPr>
            <w:tcW w:w="1807" w:type="dxa"/>
          </w:tcPr>
          <w:p w:rsidR="00AE3653" w:rsidRPr="00C7674F" w:rsidRDefault="00AE3653" w:rsidP="00FC2CFF">
            <w:pPr>
              <w:jc w:val="center"/>
              <w:rPr>
                <w:b/>
                <w:snapToGrid w:val="0"/>
                <w:szCs w:val="24"/>
                <w:lang w:eastAsia="en-US"/>
              </w:rPr>
            </w:pPr>
          </w:p>
        </w:tc>
      </w:tr>
      <w:tr w:rsidR="00454CB3" w:rsidRPr="00A57A9C" w:rsidTr="00AE3653">
        <w:tc>
          <w:tcPr>
            <w:tcW w:w="1101" w:type="dxa"/>
          </w:tcPr>
          <w:p w:rsidR="00454CB3" w:rsidRPr="00A63817" w:rsidRDefault="00AE3653" w:rsidP="007E348B">
            <w:pPr>
              <w:rPr>
                <w:b/>
                <w:snapToGrid w:val="0"/>
                <w:szCs w:val="24"/>
                <w:lang w:eastAsia="en-US"/>
              </w:rPr>
            </w:pPr>
            <w:r>
              <w:rPr>
                <w:b/>
                <w:snapToGrid w:val="0"/>
                <w:szCs w:val="24"/>
                <w:lang w:eastAsia="en-US"/>
              </w:rPr>
              <w:t>F</w:t>
            </w:r>
          </w:p>
        </w:tc>
        <w:tc>
          <w:tcPr>
            <w:tcW w:w="6945" w:type="dxa"/>
          </w:tcPr>
          <w:p w:rsidR="00454CB3" w:rsidRPr="00A63817" w:rsidRDefault="00454CB3" w:rsidP="007E348B">
            <w:pPr>
              <w:rPr>
                <w:b/>
                <w:snapToGrid w:val="0"/>
                <w:szCs w:val="24"/>
                <w:lang w:eastAsia="en-US"/>
              </w:rPr>
            </w:pPr>
            <w:r w:rsidRPr="00A63817">
              <w:rPr>
                <w:b/>
                <w:snapToGrid w:val="0"/>
                <w:szCs w:val="24"/>
                <w:lang w:eastAsia="en-US"/>
              </w:rPr>
              <w:t>Investment Policy and Performance</w:t>
            </w:r>
          </w:p>
        </w:tc>
        <w:tc>
          <w:tcPr>
            <w:tcW w:w="1807" w:type="dxa"/>
          </w:tcPr>
          <w:p w:rsidR="00454CB3" w:rsidRPr="008914C2" w:rsidRDefault="00D40926" w:rsidP="004B3F2D">
            <w:pPr>
              <w:jc w:val="center"/>
              <w:rPr>
                <w:b/>
                <w:snapToGrid w:val="0"/>
                <w:szCs w:val="24"/>
                <w:lang w:eastAsia="en-US"/>
              </w:rPr>
            </w:pPr>
            <w:r>
              <w:rPr>
                <w:b/>
                <w:snapToGrid w:val="0"/>
                <w:szCs w:val="24"/>
                <w:lang w:eastAsia="en-US"/>
              </w:rPr>
              <w:t>1</w:t>
            </w:r>
            <w:r w:rsidR="004B3F2D">
              <w:rPr>
                <w:b/>
                <w:snapToGrid w:val="0"/>
                <w:szCs w:val="24"/>
                <w:lang w:eastAsia="en-US"/>
              </w:rPr>
              <w:t>6</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914C2" w:rsidRDefault="00454CB3" w:rsidP="00EE6828">
            <w:pPr>
              <w:jc w:val="center"/>
              <w:rPr>
                <w:b/>
                <w:snapToGrid w:val="0"/>
                <w:szCs w:val="24"/>
                <w:lang w:eastAsia="en-US"/>
              </w:rPr>
            </w:pPr>
          </w:p>
        </w:tc>
      </w:tr>
      <w:tr w:rsidR="00893C2A" w:rsidRPr="00A57A9C" w:rsidTr="00AE3653">
        <w:tc>
          <w:tcPr>
            <w:tcW w:w="1101" w:type="dxa"/>
          </w:tcPr>
          <w:p w:rsidR="00893C2A" w:rsidRPr="00FC2CFF" w:rsidRDefault="00AE3653" w:rsidP="007E348B">
            <w:pPr>
              <w:rPr>
                <w:b/>
                <w:snapToGrid w:val="0"/>
                <w:szCs w:val="24"/>
                <w:lang w:eastAsia="en-US"/>
              </w:rPr>
            </w:pPr>
            <w:r>
              <w:rPr>
                <w:b/>
                <w:snapToGrid w:val="0"/>
                <w:szCs w:val="24"/>
                <w:lang w:eastAsia="en-US"/>
              </w:rPr>
              <w:t>G</w:t>
            </w:r>
          </w:p>
        </w:tc>
        <w:tc>
          <w:tcPr>
            <w:tcW w:w="6945" w:type="dxa"/>
          </w:tcPr>
          <w:p w:rsidR="00893C2A" w:rsidRPr="00FC2CFF" w:rsidRDefault="00893C2A" w:rsidP="007E348B">
            <w:pPr>
              <w:rPr>
                <w:b/>
                <w:snapToGrid w:val="0"/>
                <w:szCs w:val="24"/>
                <w:lang w:eastAsia="en-US"/>
              </w:rPr>
            </w:pPr>
            <w:r w:rsidRPr="00FC2CFF">
              <w:rPr>
                <w:b/>
                <w:snapToGrid w:val="0"/>
                <w:szCs w:val="24"/>
                <w:lang w:eastAsia="en-US"/>
              </w:rPr>
              <w:t>Accounts of the Fund</w:t>
            </w:r>
          </w:p>
        </w:tc>
        <w:tc>
          <w:tcPr>
            <w:tcW w:w="1807" w:type="dxa"/>
          </w:tcPr>
          <w:p w:rsidR="00893C2A" w:rsidRPr="008914C2" w:rsidRDefault="004B3F2D" w:rsidP="006445E2">
            <w:pPr>
              <w:jc w:val="center"/>
              <w:rPr>
                <w:b/>
                <w:snapToGrid w:val="0"/>
                <w:szCs w:val="24"/>
                <w:lang w:eastAsia="en-US"/>
              </w:rPr>
            </w:pPr>
            <w:r>
              <w:rPr>
                <w:b/>
                <w:snapToGrid w:val="0"/>
                <w:szCs w:val="24"/>
                <w:lang w:eastAsia="en-US"/>
              </w:rPr>
              <w:t>30</w:t>
            </w:r>
          </w:p>
        </w:tc>
      </w:tr>
      <w:tr w:rsidR="00893C2A" w:rsidRPr="00A57A9C" w:rsidTr="00AE3653">
        <w:tc>
          <w:tcPr>
            <w:tcW w:w="1101" w:type="dxa"/>
          </w:tcPr>
          <w:p w:rsidR="00893C2A" w:rsidRPr="00FC2CFF" w:rsidRDefault="00893C2A" w:rsidP="007E348B">
            <w:pPr>
              <w:rPr>
                <w:b/>
                <w:snapToGrid w:val="0"/>
                <w:szCs w:val="24"/>
                <w:lang w:eastAsia="en-US"/>
              </w:rPr>
            </w:pPr>
          </w:p>
        </w:tc>
        <w:tc>
          <w:tcPr>
            <w:tcW w:w="6945" w:type="dxa"/>
          </w:tcPr>
          <w:p w:rsidR="00893C2A" w:rsidRPr="00FC2CFF" w:rsidRDefault="00893C2A" w:rsidP="007E348B">
            <w:pPr>
              <w:rPr>
                <w:b/>
                <w:snapToGrid w:val="0"/>
                <w:szCs w:val="24"/>
                <w:lang w:eastAsia="en-US"/>
              </w:rPr>
            </w:pPr>
          </w:p>
        </w:tc>
        <w:tc>
          <w:tcPr>
            <w:tcW w:w="1807" w:type="dxa"/>
          </w:tcPr>
          <w:p w:rsidR="00893C2A" w:rsidRPr="008914C2" w:rsidRDefault="00893C2A" w:rsidP="006445E2">
            <w:pPr>
              <w:jc w:val="center"/>
              <w:rPr>
                <w:b/>
                <w:snapToGrid w:val="0"/>
                <w:szCs w:val="24"/>
                <w:lang w:eastAsia="en-US"/>
              </w:rPr>
            </w:pPr>
          </w:p>
        </w:tc>
      </w:tr>
      <w:tr w:rsidR="00893C2A" w:rsidRPr="00A57A9C" w:rsidTr="00AE3653">
        <w:tc>
          <w:tcPr>
            <w:tcW w:w="1101" w:type="dxa"/>
          </w:tcPr>
          <w:p w:rsidR="00893C2A" w:rsidRPr="00FC2CFF" w:rsidRDefault="00AE3653" w:rsidP="007E348B">
            <w:pPr>
              <w:rPr>
                <w:b/>
                <w:snapToGrid w:val="0"/>
                <w:szCs w:val="24"/>
                <w:lang w:eastAsia="en-US"/>
              </w:rPr>
            </w:pPr>
            <w:r>
              <w:rPr>
                <w:b/>
                <w:snapToGrid w:val="0"/>
                <w:szCs w:val="24"/>
                <w:lang w:eastAsia="en-US"/>
              </w:rPr>
              <w:t>H</w:t>
            </w:r>
          </w:p>
        </w:tc>
        <w:tc>
          <w:tcPr>
            <w:tcW w:w="6945" w:type="dxa"/>
          </w:tcPr>
          <w:p w:rsidR="00893C2A" w:rsidRPr="00FC2CFF" w:rsidRDefault="00893C2A" w:rsidP="007E348B">
            <w:pPr>
              <w:rPr>
                <w:b/>
                <w:snapToGrid w:val="0"/>
                <w:szCs w:val="24"/>
                <w:lang w:eastAsia="en-US"/>
              </w:rPr>
            </w:pPr>
            <w:r w:rsidRPr="00A63817">
              <w:rPr>
                <w:b/>
                <w:snapToGrid w:val="0"/>
                <w:szCs w:val="24"/>
                <w:lang w:eastAsia="en-US"/>
              </w:rPr>
              <w:t>Actuarial Valuation</w:t>
            </w:r>
          </w:p>
        </w:tc>
        <w:tc>
          <w:tcPr>
            <w:tcW w:w="1807" w:type="dxa"/>
          </w:tcPr>
          <w:p w:rsidR="00893C2A" w:rsidRPr="008914C2" w:rsidRDefault="00D40926" w:rsidP="00652F75">
            <w:pPr>
              <w:jc w:val="center"/>
              <w:rPr>
                <w:b/>
                <w:snapToGrid w:val="0"/>
                <w:szCs w:val="24"/>
                <w:lang w:eastAsia="en-US"/>
              </w:rPr>
            </w:pPr>
            <w:r>
              <w:rPr>
                <w:b/>
                <w:snapToGrid w:val="0"/>
                <w:szCs w:val="24"/>
                <w:lang w:eastAsia="en-US"/>
              </w:rPr>
              <w:t>6</w:t>
            </w:r>
            <w:r w:rsidR="004B3F2D">
              <w:rPr>
                <w:b/>
                <w:snapToGrid w:val="0"/>
                <w:szCs w:val="24"/>
                <w:lang w:eastAsia="en-US"/>
              </w:rPr>
              <w:t>6</w:t>
            </w:r>
          </w:p>
        </w:tc>
      </w:tr>
      <w:tr w:rsidR="00893C2A" w:rsidRPr="00A57A9C" w:rsidTr="00AE3653">
        <w:tc>
          <w:tcPr>
            <w:tcW w:w="1101" w:type="dxa"/>
          </w:tcPr>
          <w:p w:rsidR="00893C2A" w:rsidRPr="00FC2CFF" w:rsidRDefault="00893C2A" w:rsidP="007E348B">
            <w:pPr>
              <w:rPr>
                <w:b/>
                <w:snapToGrid w:val="0"/>
                <w:szCs w:val="24"/>
                <w:lang w:eastAsia="en-US"/>
              </w:rPr>
            </w:pPr>
          </w:p>
        </w:tc>
        <w:tc>
          <w:tcPr>
            <w:tcW w:w="6945" w:type="dxa"/>
          </w:tcPr>
          <w:p w:rsidR="00893C2A" w:rsidRPr="00FC2CFF" w:rsidRDefault="00893C2A" w:rsidP="007E348B">
            <w:pPr>
              <w:rPr>
                <w:b/>
                <w:snapToGrid w:val="0"/>
                <w:szCs w:val="24"/>
                <w:lang w:eastAsia="en-US"/>
              </w:rPr>
            </w:pPr>
          </w:p>
        </w:tc>
        <w:tc>
          <w:tcPr>
            <w:tcW w:w="1807" w:type="dxa"/>
          </w:tcPr>
          <w:p w:rsidR="00893C2A" w:rsidRPr="008914C2" w:rsidRDefault="00893C2A" w:rsidP="006445E2">
            <w:pPr>
              <w:jc w:val="center"/>
              <w:rPr>
                <w:b/>
                <w:snapToGrid w:val="0"/>
                <w:szCs w:val="24"/>
                <w:lang w:eastAsia="en-US"/>
              </w:rPr>
            </w:pPr>
          </w:p>
        </w:tc>
      </w:tr>
      <w:tr w:rsidR="00AE3653" w:rsidRPr="00A57A9C" w:rsidTr="00AE3653">
        <w:tc>
          <w:tcPr>
            <w:tcW w:w="1101" w:type="dxa"/>
          </w:tcPr>
          <w:p w:rsidR="00AE3653" w:rsidRPr="00FC2CFF" w:rsidRDefault="00AE3653" w:rsidP="007E348B">
            <w:pPr>
              <w:rPr>
                <w:b/>
                <w:snapToGrid w:val="0"/>
                <w:szCs w:val="24"/>
                <w:lang w:eastAsia="en-US"/>
              </w:rPr>
            </w:pPr>
            <w:r>
              <w:rPr>
                <w:b/>
                <w:snapToGrid w:val="0"/>
                <w:szCs w:val="24"/>
                <w:lang w:eastAsia="en-US"/>
              </w:rPr>
              <w:t>I</w:t>
            </w:r>
          </w:p>
        </w:tc>
        <w:tc>
          <w:tcPr>
            <w:tcW w:w="6945" w:type="dxa"/>
          </w:tcPr>
          <w:p w:rsidR="00AE3653" w:rsidRPr="00FC2CFF" w:rsidRDefault="00AE3653" w:rsidP="007E348B">
            <w:pPr>
              <w:rPr>
                <w:b/>
                <w:snapToGrid w:val="0"/>
                <w:szCs w:val="24"/>
                <w:lang w:eastAsia="en-US"/>
              </w:rPr>
            </w:pPr>
            <w:r>
              <w:rPr>
                <w:b/>
                <w:snapToGrid w:val="0"/>
                <w:szCs w:val="24"/>
                <w:lang w:eastAsia="en-US"/>
              </w:rPr>
              <w:t>Contacts</w:t>
            </w:r>
          </w:p>
        </w:tc>
        <w:tc>
          <w:tcPr>
            <w:tcW w:w="1807" w:type="dxa"/>
          </w:tcPr>
          <w:p w:rsidR="00AE3653" w:rsidRPr="008914C2" w:rsidRDefault="004B3F2D" w:rsidP="006445E2">
            <w:pPr>
              <w:jc w:val="center"/>
              <w:rPr>
                <w:b/>
                <w:snapToGrid w:val="0"/>
                <w:szCs w:val="24"/>
                <w:lang w:eastAsia="en-US"/>
              </w:rPr>
            </w:pPr>
            <w:r>
              <w:rPr>
                <w:b/>
                <w:snapToGrid w:val="0"/>
                <w:szCs w:val="24"/>
                <w:lang w:eastAsia="en-US"/>
              </w:rPr>
              <w:t>74</w:t>
            </w:r>
          </w:p>
        </w:tc>
      </w:tr>
      <w:tr w:rsidR="00AE3653" w:rsidRPr="00A57A9C" w:rsidTr="00AE3653">
        <w:tc>
          <w:tcPr>
            <w:tcW w:w="1101" w:type="dxa"/>
          </w:tcPr>
          <w:p w:rsidR="00AE3653" w:rsidRDefault="00AE3653" w:rsidP="007E348B">
            <w:pPr>
              <w:rPr>
                <w:b/>
                <w:snapToGrid w:val="0"/>
                <w:szCs w:val="24"/>
                <w:lang w:eastAsia="en-US"/>
              </w:rPr>
            </w:pPr>
          </w:p>
        </w:tc>
        <w:tc>
          <w:tcPr>
            <w:tcW w:w="6945" w:type="dxa"/>
          </w:tcPr>
          <w:p w:rsidR="00AE3653" w:rsidRDefault="00AE3653" w:rsidP="007E348B">
            <w:pPr>
              <w:rPr>
                <w:b/>
                <w:snapToGrid w:val="0"/>
                <w:szCs w:val="24"/>
                <w:lang w:eastAsia="en-US"/>
              </w:rPr>
            </w:pPr>
          </w:p>
        </w:tc>
        <w:tc>
          <w:tcPr>
            <w:tcW w:w="1807" w:type="dxa"/>
          </w:tcPr>
          <w:p w:rsidR="00AE3653" w:rsidRPr="008914C2" w:rsidRDefault="00AE3653" w:rsidP="006445E2">
            <w:pPr>
              <w:jc w:val="center"/>
              <w:rPr>
                <w:b/>
                <w:snapToGrid w:val="0"/>
                <w:szCs w:val="24"/>
                <w:lang w:eastAsia="en-US"/>
              </w:rPr>
            </w:pPr>
          </w:p>
        </w:tc>
      </w:tr>
      <w:tr w:rsidR="00AE3653" w:rsidRPr="00A57A9C" w:rsidTr="00AE3653">
        <w:trPr>
          <w:trHeight w:val="591"/>
        </w:trPr>
        <w:tc>
          <w:tcPr>
            <w:tcW w:w="1101" w:type="dxa"/>
          </w:tcPr>
          <w:p w:rsidR="00AE3653" w:rsidRPr="00FC2CFF" w:rsidRDefault="00AE3653" w:rsidP="007E348B">
            <w:pPr>
              <w:rPr>
                <w:b/>
                <w:snapToGrid w:val="0"/>
                <w:szCs w:val="24"/>
                <w:lang w:eastAsia="en-US"/>
              </w:rPr>
            </w:pPr>
          </w:p>
        </w:tc>
        <w:tc>
          <w:tcPr>
            <w:tcW w:w="6945" w:type="dxa"/>
          </w:tcPr>
          <w:p w:rsidR="00E31FB3" w:rsidRDefault="00E31FB3">
            <w:pPr>
              <w:ind w:left="720"/>
              <w:rPr>
                <w:b/>
                <w:snapToGrid w:val="0"/>
                <w:szCs w:val="24"/>
                <w:lang w:eastAsia="en-US"/>
              </w:rPr>
            </w:pPr>
          </w:p>
        </w:tc>
        <w:tc>
          <w:tcPr>
            <w:tcW w:w="1807" w:type="dxa"/>
          </w:tcPr>
          <w:p w:rsidR="00AE3653" w:rsidRPr="008914C2" w:rsidRDefault="00AE3653" w:rsidP="006445E2">
            <w:pPr>
              <w:jc w:val="center"/>
              <w:rPr>
                <w:b/>
                <w:snapToGrid w:val="0"/>
                <w:szCs w:val="24"/>
                <w:lang w:eastAsia="en-US"/>
              </w:rPr>
            </w:pPr>
          </w:p>
        </w:tc>
      </w:tr>
      <w:tr w:rsidR="00AE3653" w:rsidRPr="00A57A9C" w:rsidTr="00AE3653">
        <w:tc>
          <w:tcPr>
            <w:tcW w:w="1101" w:type="dxa"/>
          </w:tcPr>
          <w:p w:rsidR="00AE3653" w:rsidRPr="00FC2CFF" w:rsidRDefault="00AE3653" w:rsidP="007E348B">
            <w:pPr>
              <w:rPr>
                <w:b/>
                <w:snapToGrid w:val="0"/>
                <w:szCs w:val="24"/>
                <w:lang w:eastAsia="en-US"/>
              </w:rPr>
            </w:pPr>
          </w:p>
        </w:tc>
        <w:tc>
          <w:tcPr>
            <w:tcW w:w="6945" w:type="dxa"/>
          </w:tcPr>
          <w:p w:rsidR="00E31FB3" w:rsidRDefault="00E31FB3">
            <w:pPr>
              <w:ind w:left="720"/>
              <w:rPr>
                <w:b/>
                <w:snapToGrid w:val="0"/>
                <w:szCs w:val="24"/>
                <w:lang w:eastAsia="en-US"/>
              </w:rPr>
            </w:pPr>
          </w:p>
        </w:tc>
        <w:tc>
          <w:tcPr>
            <w:tcW w:w="1807" w:type="dxa"/>
          </w:tcPr>
          <w:p w:rsidR="00AE3653" w:rsidRPr="008914C2" w:rsidRDefault="00AE3653" w:rsidP="006445E2">
            <w:pPr>
              <w:jc w:val="center"/>
              <w:rPr>
                <w:b/>
                <w:snapToGrid w:val="0"/>
                <w:szCs w:val="24"/>
                <w:lang w:eastAsia="en-US"/>
              </w:rPr>
            </w:pPr>
          </w:p>
        </w:tc>
      </w:tr>
    </w:tbl>
    <w:p w:rsidR="007E348B" w:rsidRDefault="007E348B" w:rsidP="007E348B">
      <w:pPr>
        <w:rPr>
          <w:b/>
          <w:snapToGrid w:val="0"/>
          <w:sz w:val="28"/>
          <w:lang w:eastAsia="en-US"/>
        </w:rPr>
      </w:pPr>
    </w:p>
    <w:tbl>
      <w:tblPr>
        <w:tblW w:w="10632" w:type="dxa"/>
        <w:tblInd w:w="-176" w:type="dxa"/>
        <w:tblBorders>
          <w:top w:val="single" w:sz="4" w:space="0" w:color="C0C0C0"/>
          <w:left w:val="single" w:sz="4" w:space="0" w:color="C0C0C0"/>
          <w:bottom w:val="single" w:sz="4" w:space="0" w:color="C0C0C0"/>
          <w:right w:val="single" w:sz="4" w:space="0" w:color="C0C0C0"/>
          <w:insideV w:val="single" w:sz="4" w:space="0" w:color="C0C0C0"/>
        </w:tblBorders>
        <w:tblLayout w:type="fixed"/>
        <w:tblLook w:val="0000" w:firstRow="0" w:lastRow="0" w:firstColumn="0" w:lastColumn="0" w:noHBand="0" w:noVBand="0"/>
      </w:tblPr>
      <w:tblGrid>
        <w:gridCol w:w="10632"/>
      </w:tblGrid>
      <w:tr w:rsidR="00CF2F84" w:rsidTr="004E3B4B">
        <w:trPr>
          <w:trHeight w:val="13275"/>
        </w:trPr>
        <w:tc>
          <w:tcPr>
            <w:tcW w:w="10632" w:type="dxa"/>
            <w:tcBorders>
              <w:top w:val="nil"/>
              <w:left w:val="nil"/>
              <w:bottom w:val="nil"/>
              <w:right w:val="nil"/>
            </w:tcBorders>
          </w:tcPr>
          <w:p w:rsidR="00E31FB3" w:rsidRDefault="00E31FB3">
            <w:pPr>
              <w:ind w:left="360"/>
              <w:rPr>
                <w:b/>
                <w:snapToGrid w:val="0"/>
                <w:sz w:val="28"/>
                <w:lang w:eastAsia="en-US"/>
              </w:rPr>
            </w:pPr>
          </w:p>
          <w:p w:rsidR="00E43392" w:rsidRDefault="00D545F4">
            <w:pPr>
              <w:numPr>
                <w:ilvl w:val="0"/>
                <w:numId w:val="10"/>
              </w:numPr>
              <w:rPr>
                <w:b/>
                <w:snapToGrid w:val="0"/>
                <w:sz w:val="28"/>
                <w:lang w:eastAsia="en-US"/>
              </w:rPr>
            </w:pPr>
            <w:r>
              <w:rPr>
                <w:b/>
                <w:snapToGrid w:val="0"/>
                <w:sz w:val="28"/>
                <w:lang w:eastAsia="en-US"/>
              </w:rPr>
              <w:t>Management Structure</w:t>
            </w:r>
          </w:p>
          <w:p w:rsidR="00CF2F84" w:rsidRPr="00E21C30" w:rsidRDefault="00CF2F84">
            <w:pPr>
              <w:ind w:left="284" w:hanging="284"/>
              <w:rPr>
                <w:b/>
                <w:szCs w:val="24"/>
                <w:highlight w:val="yellow"/>
              </w:rPr>
            </w:pPr>
          </w:p>
          <w:tbl>
            <w:tblPr>
              <w:tblW w:w="10379" w:type="dxa"/>
              <w:tblInd w:w="284" w:type="dxa"/>
              <w:tblLayout w:type="fixed"/>
              <w:tblLook w:val="04A0" w:firstRow="1" w:lastRow="0" w:firstColumn="1" w:lastColumn="0" w:noHBand="0" w:noVBand="1"/>
            </w:tblPr>
            <w:tblGrid>
              <w:gridCol w:w="3615"/>
              <w:gridCol w:w="3304"/>
              <w:gridCol w:w="3460"/>
            </w:tblGrid>
            <w:tr w:rsidR="00A402A4" w:rsidRPr="00E21C30" w:rsidTr="004E3B4B">
              <w:trPr>
                <w:trHeight w:val="861"/>
              </w:trPr>
              <w:tc>
                <w:tcPr>
                  <w:tcW w:w="3615" w:type="dxa"/>
                </w:tcPr>
                <w:p w:rsidR="00811FEA" w:rsidRPr="000624DD" w:rsidRDefault="00D545F4" w:rsidP="00A402A4">
                  <w:pPr>
                    <w:ind w:left="284" w:hanging="284"/>
                    <w:rPr>
                      <w:b/>
                      <w:szCs w:val="24"/>
                    </w:rPr>
                  </w:pPr>
                  <w:r>
                    <w:rPr>
                      <w:b/>
                      <w:szCs w:val="24"/>
                    </w:rPr>
                    <w:t>Management Structure as at</w:t>
                  </w:r>
                </w:p>
                <w:p w:rsidR="00A402A4" w:rsidRPr="000624DD" w:rsidRDefault="00D545F4" w:rsidP="00A402A4">
                  <w:pPr>
                    <w:ind w:left="284" w:hanging="284"/>
                    <w:rPr>
                      <w:b/>
                      <w:szCs w:val="24"/>
                    </w:rPr>
                  </w:pPr>
                  <w:r>
                    <w:rPr>
                      <w:b/>
                      <w:szCs w:val="24"/>
                    </w:rPr>
                    <w:t>31 March 201</w:t>
                  </w:r>
                  <w:r w:rsidR="00351FD6">
                    <w:rPr>
                      <w:b/>
                      <w:szCs w:val="24"/>
                    </w:rPr>
                    <w:t>4</w:t>
                  </w:r>
                </w:p>
                <w:p w:rsidR="00A402A4" w:rsidRPr="00E21C30" w:rsidRDefault="00A402A4" w:rsidP="00AC3D87">
                  <w:pPr>
                    <w:rPr>
                      <w:b/>
                      <w:highlight w:val="yellow"/>
                    </w:rPr>
                  </w:pPr>
                </w:p>
              </w:tc>
              <w:tc>
                <w:tcPr>
                  <w:tcW w:w="3304" w:type="dxa"/>
                </w:tcPr>
                <w:p w:rsidR="00A402A4" w:rsidRPr="000624DD" w:rsidRDefault="00D545F4" w:rsidP="00A402A4">
                  <w:pPr>
                    <w:rPr>
                      <w:b/>
                    </w:rPr>
                  </w:pPr>
                  <w:r>
                    <w:rPr>
                      <w:b/>
                    </w:rPr>
                    <w:t>Administering Authority</w:t>
                  </w:r>
                </w:p>
                <w:p w:rsidR="00A402A4" w:rsidRPr="000624DD" w:rsidRDefault="00D545F4" w:rsidP="00A402A4">
                  <w:r>
                    <w:t>Lancashire County Council</w:t>
                  </w:r>
                </w:p>
                <w:p w:rsidR="00A402A4" w:rsidRPr="00E21C30" w:rsidRDefault="00A402A4" w:rsidP="00AC3D87">
                  <w:pPr>
                    <w:rPr>
                      <w:b/>
                      <w:highlight w:val="yellow"/>
                    </w:rPr>
                  </w:pPr>
                </w:p>
              </w:tc>
              <w:tc>
                <w:tcPr>
                  <w:tcW w:w="3460" w:type="dxa"/>
                </w:tcPr>
                <w:p w:rsidR="00A402A4" w:rsidRPr="00E21C30" w:rsidRDefault="00A402A4" w:rsidP="00AC3D87">
                  <w:pPr>
                    <w:rPr>
                      <w:b/>
                      <w:highlight w:val="yellow"/>
                    </w:rPr>
                  </w:pPr>
                </w:p>
              </w:tc>
            </w:tr>
            <w:tr w:rsidR="00A402A4" w:rsidRPr="00E21C30" w:rsidTr="004E3B4B">
              <w:trPr>
                <w:trHeight w:val="298"/>
              </w:trPr>
              <w:tc>
                <w:tcPr>
                  <w:tcW w:w="3615" w:type="dxa"/>
                </w:tcPr>
                <w:p w:rsidR="00A402A4" w:rsidRPr="00E21C30" w:rsidRDefault="00A402A4" w:rsidP="00AC3D87">
                  <w:pPr>
                    <w:rPr>
                      <w:b/>
                      <w:highlight w:val="yellow"/>
                    </w:rPr>
                  </w:pPr>
                </w:p>
              </w:tc>
              <w:tc>
                <w:tcPr>
                  <w:tcW w:w="3304" w:type="dxa"/>
                </w:tcPr>
                <w:p w:rsidR="00A402A4" w:rsidRPr="00E21C30" w:rsidRDefault="00A402A4" w:rsidP="00AC3D87">
                  <w:pPr>
                    <w:rPr>
                      <w:b/>
                      <w:highlight w:val="yellow"/>
                    </w:rPr>
                  </w:pPr>
                </w:p>
              </w:tc>
              <w:tc>
                <w:tcPr>
                  <w:tcW w:w="3460" w:type="dxa"/>
                </w:tcPr>
                <w:p w:rsidR="00A402A4" w:rsidRPr="00E21C30" w:rsidRDefault="00A402A4" w:rsidP="00AC3D87">
                  <w:pPr>
                    <w:rPr>
                      <w:b/>
                      <w:highlight w:val="yellow"/>
                    </w:rPr>
                  </w:pPr>
                </w:p>
              </w:tc>
            </w:tr>
            <w:tr w:rsidR="00A402A4" w:rsidTr="004E3B4B">
              <w:trPr>
                <w:trHeight w:val="11225"/>
              </w:trPr>
              <w:tc>
                <w:tcPr>
                  <w:tcW w:w="3615" w:type="dxa"/>
                  <w:tcBorders>
                    <w:bottom w:val="nil"/>
                  </w:tcBorders>
                </w:tcPr>
                <w:p w:rsidR="00A402A4" w:rsidRPr="008B77E0" w:rsidRDefault="00D545F4" w:rsidP="00A402A4">
                  <w:pPr>
                    <w:rPr>
                      <w:b/>
                    </w:rPr>
                  </w:pPr>
                  <w:r>
                    <w:rPr>
                      <w:b/>
                    </w:rPr>
                    <w:t>Pension Fund Committee</w:t>
                  </w:r>
                  <w:r w:rsidR="00DB7E82">
                    <w:rPr>
                      <w:b/>
                    </w:rPr>
                    <w:t xml:space="preserve"> </w:t>
                  </w:r>
                </w:p>
                <w:p w:rsidR="00A402A4" w:rsidRPr="008B77E0" w:rsidRDefault="00D545F4" w:rsidP="00A402A4">
                  <w:r>
                    <w:t>2</w:t>
                  </w:r>
                  <w:r w:rsidR="00351FD6">
                    <w:t>013/14</w:t>
                  </w:r>
                  <w:r>
                    <w:t xml:space="preserve"> (as at March 201</w:t>
                  </w:r>
                  <w:r w:rsidR="00351FD6">
                    <w:t>4</w:t>
                  </w:r>
                  <w:r>
                    <w:t>)</w:t>
                  </w:r>
                </w:p>
                <w:p w:rsidR="00A402A4" w:rsidRPr="00E21C30" w:rsidRDefault="00A402A4" w:rsidP="00A402A4">
                  <w:pPr>
                    <w:rPr>
                      <w:highlight w:val="yellow"/>
                    </w:rPr>
                  </w:pPr>
                </w:p>
                <w:p w:rsidR="00A402A4" w:rsidRPr="008B77E0" w:rsidRDefault="00D545F4" w:rsidP="00A402A4">
                  <w:pPr>
                    <w:rPr>
                      <w:b/>
                    </w:rPr>
                  </w:pPr>
                  <w:r>
                    <w:rPr>
                      <w:b/>
                    </w:rPr>
                    <w:t>Lancashire County Council</w:t>
                  </w:r>
                </w:p>
                <w:p w:rsidR="00DF7FD9" w:rsidRDefault="00DF7FD9" w:rsidP="00A402A4">
                  <w:r>
                    <w:t>L Beavers</w:t>
                  </w:r>
                </w:p>
                <w:p w:rsidR="00DF7FD9" w:rsidRDefault="00DF7FD9" w:rsidP="00A402A4">
                  <w:r>
                    <w:t>D Borrow</w:t>
                  </w:r>
                </w:p>
                <w:p w:rsidR="00DF7FD9" w:rsidRPr="008B77E0" w:rsidRDefault="00DF7FD9" w:rsidP="00DF7FD9">
                  <w:r>
                    <w:t>M Brindle</w:t>
                  </w:r>
                </w:p>
                <w:p w:rsidR="00A402A4" w:rsidRPr="008B77E0" w:rsidRDefault="00DF7FD9" w:rsidP="00A402A4">
                  <w:r>
                    <w:t>T Burns</w:t>
                  </w:r>
                  <w:r w:rsidR="00D545F4">
                    <w:t xml:space="preserve"> (Chair)</w:t>
                  </w:r>
                </w:p>
                <w:p w:rsidR="00DF7FD9" w:rsidRDefault="00DF7FD9" w:rsidP="00A402A4">
                  <w:r>
                    <w:t>G Dowding</w:t>
                  </w:r>
                </w:p>
                <w:p w:rsidR="00DF7FD9" w:rsidRDefault="00DF7FD9" w:rsidP="00A402A4">
                  <w:r>
                    <w:t>J Gibson</w:t>
                  </w:r>
                </w:p>
                <w:p w:rsidR="00DF7FD9" w:rsidRDefault="00DF7FD9" w:rsidP="00A402A4">
                  <w:r>
                    <w:t>J Oakes</w:t>
                  </w:r>
                </w:p>
                <w:p w:rsidR="00A402A4" w:rsidRDefault="00DF7FD9" w:rsidP="00A402A4">
                  <w:r>
                    <w:t>M Parkinson</w:t>
                  </w:r>
                  <w:r w:rsidR="00D545F4">
                    <w:t xml:space="preserve"> (Deputy Chair)</w:t>
                  </w:r>
                </w:p>
                <w:p w:rsidR="00DF7FD9" w:rsidRDefault="00DF7FD9" w:rsidP="00A402A4">
                  <w:r>
                    <w:t>A Schofield</w:t>
                  </w:r>
                </w:p>
                <w:p w:rsidR="00DF7FD9" w:rsidRDefault="00DF7FD9" w:rsidP="00A402A4">
                  <w:r>
                    <w:t>K Sedgewick</w:t>
                  </w:r>
                </w:p>
                <w:p w:rsidR="007C0ADD" w:rsidRDefault="007C0ADD" w:rsidP="00A402A4">
                  <w:r>
                    <w:t>D Stansfield</w:t>
                  </w:r>
                </w:p>
                <w:p w:rsidR="007C0ADD" w:rsidRDefault="007C0ADD" w:rsidP="00A402A4">
                  <w:r>
                    <w:t>V Taylor</w:t>
                  </w:r>
                </w:p>
                <w:p w:rsidR="00DF7FD9" w:rsidRDefault="00DF7FD9" w:rsidP="00A402A4">
                  <w:r>
                    <w:t>D Westley</w:t>
                  </w:r>
                </w:p>
                <w:p w:rsidR="00A402A4" w:rsidRPr="008B77E0" w:rsidRDefault="00A402A4" w:rsidP="00DF7FD9"/>
                <w:p w:rsidR="00A402A4" w:rsidRPr="00E21C30" w:rsidRDefault="00A402A4" w:rsidP="00A402A4">
                  <w:pPr>
                    <w:rPr>
                      <w:highlight w:val="yellow"/>
                    </w:rPr>
                  </w:pPr>
                </w:p>
                <w:p w:rsidR="00A402A4" w:rsidRPr="008B77E0" w:rsidRDefault="00D545F4" w:rsidP="00A402A4">
                  <w:pPr>
                    <w:rPr>
                      <w:b/>
                    </w:rPr>
                  </w:pPr>
                  <w:r>
                    <w:rPr>
                      <w:b/>
                    </w:rPr>
                    <w:t xml:space="preserve">Blackburn with Darwen </w:t>
                  </w:r>
                </w:p>
                <w:p w:rsidR="00A402A4" w:rsidRPr="008B77E0" w:rsidRDefault="00D545F4" w:rsidP="00A402A4">
                  <w:pPr>
                    <w:rPr>
                      <w:b/>
                    </w:rPr>
                  </w:pPr>
                  <w:r>
                    <w:rPr>
                      <w:b/>
                    </w:rPr>
                    <w:t>Borough Council</w:t>
                  </w:r>
                </w:p>
                <w:p w:rsidR="0083436C" w:rsidRPr="00A228CE" w:rsidRDefault="007C0ADD" w:rsidP="00A402A4">
                  <w:r w:rsidRPr="00A228CE">
                    <w:t>Vacant</w:t>
                  </w:r>
                </w:p>
                <w:p w:rsidR="00DF7FD9" w:rsidRPr="00E21C30" w:rsidRDefault="00DF7FD9" w:rsidP="00A402A4">
                  <w:pPr>
                    <w:rPr>
                      <w:highlight w:val="yellow"/>
                    </w:rPr>
                  </w:pPr>
                </w:p>
                <w:p w:rsidR="00A402A4" w:rsidRPr="008B77E0" w:rsidRDefault="00D545F4" w:rsidP="00A402A4">
                  <w:pPr>
                    <w:rPr>
                      <w:b/>
                    </w:rPr>
                  </w:pPr>
                  <w:r>
                    <w:rPr>
                      <w:b/>
                    </w:rPr>
                    <w:t>Blackpool Borough Council</w:t>
                  </w:r>
                </w:p>
                <w:p w:rsidR="00A402A4" w:rsidRPr="008B77E0" w:rsidRDefault="00D545F4" w:rsidP="00A402A4">
                  <w:r>
                    <w:t>M Smith</w:t>
                  </w:r>
                </w:p>
                <w:p w:rsidR="00A402A4" w:rsidRPr="00E21C30" w:rsidRDefault="00A402A4" w:rsidP="00A402A4">
                  <w:pPr>
                    <w:rPr>
                      <w:highlight w:val="yellow"/>
                    </w:rPr>
                  </w:pPr>
                </w:p>
                <w:p w:rsidR="00A402A4" w:rsidRPr="008B77E0" w:rsidRDefault="00D545F4" w:rsidP="00A402A4">
                  <w:pPr>
                    <w:rPr>
                      <w:b/>
                    </w:rPr>
                  </w:pPr>
                  <w:r>
                    <w:rPr>
                      <w:b/>
                    </w:rPr>
                    <w:t xml:space="preserve">Lancashire </w:t>
                  </w:r>
                  <w:r w:rsidR="007812A1">
                    <w:rPr>
                      <w:b/>
                    </w:rPr>
                    <w:t>District Councils</w:t>
                  </w:r>
                  <w:r>
                    <w:rPr>
                      <w:b/>
                    </w:rPr>
                    <w:t xml:space="preserve"> </w:t>
                  </w:r>
                </w:p>
                <w:p w:rsidR="00A402A4" w:rsidRDefault="00D545F4" w:rsidP="00A402A4">
                  <w:r>
                    <w:t xml:space="preserve">P </w:t>
                  </w:r>
                  <w:r w:rsidR="008B77E0">
                    <w:t>Leadbetter</w:t>
                  </w:r>
                </w:p>
                <w:p w:rsidR="008B77E0" w:rsidRPr="008B77E0" w:rsidRDefault="007C0ADD" w:rsidP="00A402A4">
                  <w:r>
                    <w:t>I Grant</w:t>
                  </w:r>
                </w:p>
                <w:p w:rsidR="00A402A4" w:rsidRPr="00E21C30" w:rsidRDefault="00A402A4" w:rsidP="00A402A4">
                  <w:pPr>
                    <w:rPr>
                      <w:highlight w:val="yellow"/>
                    </w:rPr>
                  </w:pPr>
                </w:p>
                <w:p w:rsidR="00A402A4" w:rsidRPr="008B77E0" w:rsidRDefault="00D545F4" w:rsidP="00A402A4">
                  <w:pPr>
                    <w:rPr>
                      <w:b/>
                    </w:rPr>
                  </w:pPr>
                  <w:r>
                    <w:rPr>
                      <w:b/>
                    </w:rPr>
                    <w:t>Co-opted Member</w:t>
                  </w:r>
                  <w:r w:rsidR="00F8562A">
                    <w:rPr>
                      <w:b/>
                    </w:rPr>
                    <w:t xml:space="preserve"> </w:t>
                  </w:r>
                  <w:r>
                    <w:rPr>
                      <w:b/>
                    </w:rPr>
                    <w:t>representing Trade Unions</w:t>
                  </w:r>
                </w:p>
                <w:p w:rsidR="00A402A4" w:rsidRDefault="00D545F4" w:rsidP="00A402A4">
                  <w:r>
                    <w:t>R P Harvey</w:t>
                  </w:r>
                </w:p>
                <w:p w:rsidR="007C0ADD" w:rsidRPr="008B77E0" w:rsidRDefault="007C0ADD" w:rsidP="00A402A4">
                  <w:r>
                    <w:t>R Whittle</w:t>
                  </w:r>
                </w:p>
                <w:p w:rsidR="0083436C" w:rsidRPr="008B77E0" w:rsidRDefault="0083436C" w:rsidP="00A402A4"/>
                <w:p w:rsidR="00A402A4" w:rsidRPr="008B77E0" w:rsidRDefault="00D545F4" w:rsidP="00A402A4">
                  <w:pPr>
                    <w:rPr>
                      <w:b/>
                    </w:rPr>
                  </w:pPr>
                  <w:r>
                    <w:rPr>
                      <w:b/>
                    </w:rPr>
                    <w:t>Co-opted Member representing HE/FE Establishments</w:t>
                  </w:r>
                </w:p>
                <w:p w:rsidR="00A402A4" w:rsidRDefault="00D545F4" w:rsidP="00A402A4">
                  <w:r>
                    <w:t>J McCann</w:t>
                  </w:r>
                </w:p>
                <w:p w:rsidR="00747417" w:rsidRDefault="00747417" w:rsidP="00A402A4"/>
                <w:p w:rsidR="00747417" w:rsidRPr="00E21C30" w:rsidRDefault="00747417" w:rsidP="00A402A4">
                  <w:pPr>
                    <w:rPr>
                      <w:b/>
                      <w:highlight w:val="yellow"/>
                    </w:rPr>
                  </w:pPr>
                </w:p>
              </w:tc>
              <w:tc>
                <w:tcPr>
                  <w:tcW w:w="3304" w:type="dxa"/>
                  <w:tcBorders>
                    <w:bottom w:val="nil"/>
                  </w:tcBorders>
                </w:tcPr>
                <w:p w:rsidR="00A402A4" w:rsidRPr="000624DD" w:rsidRDefault="00D545F4" w:rsidP="00A402A4">
                  <w:pPr>
                    <w:rPr>
                      <w:b/>
                    </w:rPr>
                  </w:pPr>
                  <w:r>
                    <w:rPr>
                      <w:b/>
                    </w:rPr>
                    <w:t>Fund Managers</w:t>
                  </w:r>
                </w:p>
                <w:p w:rsidR="0049508B" w:rsidRDefault="0049508B" w:rsidP="00A402A4">
                  <w:r>
                    <w:t xml:space="preserve">AGF </w:t>
                  </w:r>
                </w:p>
                <w:p w:rsidR="00960507" w:rsidRDefault="00960507" w:rsidP="00A402A4">
                  <w:r>
                    <w:t>Baillie Gifford &amp; Co</w:t>
                  </w:r>
                </w:p>
                <w:p w:rsidR="0049508B" w:rsidRDefault="0049508B" w:rsidP="0049508B">
                  <w:r>
                    <w:t>Capital Dynamics</w:t>
                  </w:r>
                </w:p>
                <w:p w:rsidR="0049508B" w:rsidRPr="00E21C30" w:rsidRDefault="0049508B" w:rsidP="0049508B">
                  <w:pPr>
                    <w:rPr>
                      <w:highlight w:val="yellow"/>
                    </w:rPr>
                  </w:pPr>
                  <w:r>
                    <w:t xml:space="preserve">Knight Frank </w:t>
                  </w:r>
                </w:p>
                <w:p w:rsidR="0049508B" w:rsidRDefault="0049508B" w:rsidP="0049508B">
                  <w:r>
                    <w:t>Mellon Transition Management</w:t>
                  </w:r>
                </w:p>
                <w:p w:rsidR="00960507" w:rsidRDefault="00960507" w:rsidP="00A402A4">
                  <w:r>
                    <w:t>MFS International (UK) Ltd</w:t>
                  </w:r>
                </w:p>
                <w:p w:rsidR="00960507" w:rsidRDefault="00960507" w:rsidP="00A402A4">
                  <w:r>
                    <w:t>Morgan Stanley Investment</w:t>
                  </w:r>
                </w:p>
                <w:p w:rsidR="00960507" w:rsidRDefault="00960507" w:rsidP="00A402A4">
                  <w:r>
                    <w:t>Management</w:t>
                  </w:r>
                </w:p>
                <w:p w:rsidR="00960507" w:rsidRDefault="00960507" w:rsidP="00A402A4">
                  <w:r>
                    <w:t>NGAM UK Ltd</w:t>
                  </w:r>
                </w:p>
                <w:p w:rsidR="0049508B" w:rsidRDefault="0049508B" w:rsidP="0049508B">
                  <w:r>
                    <w:t>Robeco Institutional Asset</w:t>
                  </w:r>
                </w:p>
                <w:p w:rsidR="0049508B" w:rsidRDefault="0049508B" w:rsidP="0049508B">
                  <w:r>
                    <w:t>Management</w:t>
                  </w:r>
                </w:p>
                <w:p w:rsidR="0055201F" w:rsidRDefault="0049508B" w:rsidP="00A402A4">
                  <w:r>
                    <w:t>In-House</w:t>
                  </w:r>
                </w:p>
                <w:p w:rsidR="0049508B" w:rsidRPr="00E21C30" w:rsidRDefault="0049508B" w:rsidP="00A402A4">
                  <w:pPr>
                    <w:rPr>
                      <w:highlight w:val="yellow"/>
                    </w:rPr>
                  </w:pPr>
                </w:p>
                <w:p w:rsidR="00A402A4" w:rsidRPr="000624DD" w:rsidRDefault="00D545F4" w:rsidP="00A402A4">
                  <w:pPr>
                    <w:rPr>
                      <w:b/>
                    </w:rPr>
                  </w:pPr>
                  <w:r>
                    <w:rPr>
                      <w:b/>
                    </w:rPr>
                    <w:t>Custodian</w:t>
                  </w:r>
                </w:p>
                <w:p w:rsidR="00A402A4" w:rsidRPr="000624DD" w:rsidRDefault="00D545F4" w:rsidP="00A402A4">
                  <w:r>
                    <w:t>Northern Trust</w:t>
                  </w:r>
                </w:p>
                <w:p w:rsidR="0083436C" w:rsidRPr="00E21C30" w:rsidRDefault="0083436C" w:rsidP="00A402A4">
                  <w:pPr>
                    <w:rPr>
                      <w:highlight w:val="yellow"/>
                    </w:rPr>
                  </w:pPr>
                </w:p>
                <w:p w:rsidR="00A402A4" w:rsidRPr="000624DD" w:rsidRDefault="00D545F4" w:rsidP="00A402A4">
                  <w:pPr>
                    <w:rPr>
                      <w:b/>
                    </w:rPr>
                  </w:pPr>
                  <w:r>
                    <w:rPr>
                      <w:b/>
                    </w:rPr>
                    <w:t>Independent Investment Advisers</w:t>
                  </w:r>
                </w:p>
                <w:p w:rsidR="00A402A4" w:rsidRPr="000624DD" w:rsidRDefault="00D545F4" w:rsidP="00A402A4">
                  <w:r>
                    <w:t>E Lambert</w:t>
                  </w:r>
                </w:p>
                <w:p w:rsidR="00A402A4" w:rsidRPr="000624DD" w:rsidRDefault="00D545F4" w:rsidP="00A402A4">
                  <w:r>
                    <w:t>N Mills</w:t>
                  </w:r>
                </w:p>
                <w:p w:rsidR="00A402A4" w:rsidRPr="000624DD" w:rsidRDefault="00A402A4" w:rsidP="00A402A4"/>
                <w:p w:rsidR="00A402A4" w:rsidRPr="000624DD" w:rsidRDefault="00D545F4" w:rsidP="00A402A4">
                  <w:pPr>
                    <w:rPr>
                      <w:b/>
                    </w:rPr>
                  </w:pPr>
                  <w:r>
                    <w:rPr>
                      <w:b/>
                    </w:rPr>
                    <w:t>Treasurer to the Lancashire County Pension Fund</w:t>
                  </w:r>
                </w:p>
                <w:p w:rsidR="00A402A4" w:rsidRDefault="00D545F4" w:rsidP="003332F4">
                  <w:r>
                    <w:t>G Kilpatrick CPFA</w:t>
                  </w:r>
                </w:p>
                <w:p w:rsidR="00F22858" w:rsidRDefault="00F22858" w:rsidP="003332F4"/>
                <w:p w:rsidR="00F22858" w:rsidRPr="000624DD" w:rsidRDefault="00F22858" w:rsidP="00F22858">
                  <w:pPr>
                    <w:rPr>
                      <w:b/>
                    </w:rPr>
                  </w:pPr>
                  <w:r>
                    <w:rPr>
                      <w:b/>
                    </w:rPr>
                    <w:t>Actuary</w:t>
                  </w:r>
                </w:p>
                <w:p w:rsidR="00F22858" w:rsidRPr="000624DD" w:rsidRDefault="00F22858" w:rsidP="00F22858">
                  <w:r>
                    <w:t xml:space="preserve">Mercer </w:t>
                  </w:r>
                </w:p>
                <w:p w:rsidR="00F22858" w:rsidRPr="000624DD" w:rsidRDefault="00F22858" w:rsidP="00F22858"/>
                <w:p w:rsidR="00F22858" w:rsidRPr="000624DD" w:rsidRDefault="00F22858" w:rsidP="00F22858">
                  <w:pPr>
                    <w:rPr>
                      <w:b/>
                    </w:rPr>
                  </w:pPr>
                  <w:r>
                    <w:rPr>
                      <w:b/>
                    </w:rPr>
                    <w:t>Auditor</w:t>
                  </w:r>
                </w:p>
                <w:p w:rsidR="00F22858" w:rsidRPr="000624DD" w:rsidRDefault="00F22858" w:rsidP="00F22858">
                  <w:r>
                    <w:t>Grant Thornton</w:t>
                  </w:r>
                </w:p>
                <w:p w:rsidR="00F22858" w:rsidRPr="00E21C30" w:rsidRDefault="00F22858" w:rsidP="003332F4">
                  <w:pPr>
                    <w:rPr>
                      <w:b/>
                      <w:highlight w:val="yellow"/>
                    </w:rPr>
                  </w:pPr>
                </w:p>
              </w:tc>
              <w:tc>
                <w:tcPr>
                  <w:tcW w:w="3460" w:type="dxa"/>
                  <w:tcBorders>
                    <w:bottom w:val="nil"/>
                  </w:tcBorders>
                </w:tcPr>
                <w:p w:rsidR="00A402A4" w:rsidRPr="000624DD" w:rsidRDefault="00D545F4" w:rsidP="00A402A4">
                  <w:pPr>
                    <w:rPr>
                      <w:b/>
                    </w:rPr>
                  </w:pPr>
                  <w:r>
                    <w:rPr>
                      <w:b/>
                    </w:rPr>
                    <w:t>Property Solicitors</w:t>
                  </w:r>
                </w:p>
                <w:p w:rsidR="00A402A4" w:rsidRPr="000624DD" w:rsidRDefault="00D545F4" w:rsidP="00A402A4">
                  <w:r>
                    <w:t xml:space="preserve">Pinsent </w:t>
                  </w:r>
                  <w:r w:rsidR="00B85987">
                    <w:t>Masons</w:t>
                  </w:r>
                  <w:r w:rsidR="00F8615A">
                    <w:t xml:space="preserve"> </w:t>
                  </w:r>
                </w:p>
                <w:p w:rsidR="00A402A4" w:rsidRPr="000624DD" w:rsidRDefault="00D545F4" w:rsidP="00A402A4">
                  <w:r>
                    <w:t>DWF</w:t>
                  </w:r>
                </w:p>
                <w:p w:rsidR="000624DD" w:rsidRPr="000624DD" w:rsidRDefault="000624DD" w:rsidP="00A402A4"/>
                <w:p w:rsidR="00A402A4" w:rsidRPr="000624DD" w:rsidRDefault="00D545F4" w:rsidP="00A402A4">
                  <w:pPr>
                    <w:rPr>
                      <w:b/>
                    </w:rPr>
                  </w:pPr>
                  <w:r>
                    <w:rPr>
                      <w:b/>
                    </w:rPr>
                    <w:t>Independent Property Valuer</w:t>
                  </w:r>
                </w:p>
                <w:p w:rsidR="00A402A4" w:rsidRPr="000624DD" w:rsidRDefault="00D545F4" w:rsidP="00A402A4">
                  <w:r>
                    <w:t>Cushman &amp; Wakefield</w:t>
                  </w:r>
                </w:p>
                <w:p w:rsidR="00A402A4" w:rsidRPr="000624DD" w:rsidRDefault="00A402A4" w:rsidP="00A402A4"/>
                <w:p w:rsidR="00A402A4" w:rsidRPr="000624DD" w:rsidRDefault="00D545F4" w:rsidP="00A402A4">
                  <w:pPr>
                    <w:rPr>
                      <w:b/>
                    </w:rPr>
                  </w:pPr>
                  <w:r>
                    <w:rPr>
                      <w:b/>
                    </w:rPr>
                    <w:t>Corporate Governance Adviser</w:t>
                  </w:r>
                </w:p>
                <w:p w:rsidR="00A402A4" w:rsidRPr="000624DD" w:rsidRDefault="00D545F4" w:rsidP="00A402A4">
                  <w:r>
                    <w:t>PIRC</w:t>
                  </w:r>
                </w:p>
                <w:p w:rsidR="00A402A4" w:rsidRPr="000624DD" w:rsidRDefault="00A402A4" w:rsidP="00A402A4"/>
                <w:p w:rsidR="00A402A4" w:rsidRPr="000624DD" w:rsidRDefault="00D545F4" w:rsidP="00A402A4">
                  <w:pPr>
                    <w:rPr>
                      <w:b/>
                    </w:rPr>
                  </w:pPr>
                  <w:r>
                    <w:rPr>
                      <w:b/>
                    </w:rPr>
                    <w:t>Performance Measurement</w:t>
                  </w:r>
                </w:p>
                <w:p w:rsidR="00A402A4" w:rsidRPr="000624DD" w:rsidRDefault="00D545F4" w:rsidP="00A402A4">
                  <w:r>
                    <w:t>Northern Trust</w:t>
                  </w:r>
                </w:p>
                <w:p w:rsidR="00A402A4" w:rsidRPr="000624DD" w:rsidRDefault="00A402A4" w:rsidP="00A402A4"/>
                <w:p w:rsidR="00A402A4" w:rsidRPr="000624DD" w:rsidRDefault="00D545F4" w:rsidP="00A402A4">
                  <w:pPr>
                    <w:rPr>
                      <w:b/>
                    </w:rPr>
                  </w:pPr>
                  <w:r>
                    <w:rPr>
                      <w:b/>
                    </w:rPr>
                    <w:t>AVC Providers</w:t>
                  </w:r>
                </w:p>
                <w:p w:rsidR="00A402A4" w:rsidRPr="000624DD" w:rsidRDefault="00D545F4" w:rsidP="00A402A4">
                  <w:r>
                    <w:t>Prudential</w:t>
                  </w:r>
                </w:p>
                <w:p w:rsidR="00A402A4" w:rsidRPr="000624DD" w:rsidRDefault="00D545F4" w:rsidP="00A402A4">
                  <w:r>
                    <w:t>Equitable Life</w:t>
                  </w:r>
                </w:p>
                <w:p w:rsidR="00A402A4" w:rsidRPr="000624DD" w:rsidRDefault="00A402A4" w:rsidP="00A402A4"/>
                <w:p w:rsidR="00A402A4" w:rsidRPr="000624DD" w:rsidRDefault="00D545F4" w:rsidP="00A402A4">
                  <w:pPr>
                    <w:rPr>
                      <w:b/>
                    </w:rPr>
                  </w:pPr>
                  <w:r>
                    <w:rPr>
                      <w:b/>
                    </w:rPr>
                    <w:t>Legal Advisors (other than property)</w:t>
                  </w:r>
                </w:p>
                <w:p w:rsidR="00A402A4" w:rsidRDefault="0049508B" w:rsidP="00A402A4">
                  <w:r>
                    <w:t>In-</w:t>
                  </w:r>
                  <w:r w:rsidR="00D545F4">
                    <w:t>House</w:t>
                  </w:r>
                </w:p>
                <w:p w:rsidR="00F22858" w:rsidRPr="00F22858" w:rsidRDefault="00AA045D" w:rsidP="00F22858">
                  <w:r w:rsidRPr="00AA045D">
                    <w:t>MacFarlanes</w:t>
                  </w:r>
                </w:p>
                <w:p w:rsidR="00F22858" w:rsidRPr="00F22858" w:rsidRDefault="00AA045D" w:rsidP="00F22858">
                  <w:r w:rsidRPr="00AA045D">
                    <w:t>Eversheds</w:t>
                  </w:r>
                </w:p>
                <w:p w:rsidR="00F22858" w:rsidRPr="00F22858" w:rsidRDefault="00AA045D" w:rsidP="00F22858">
                  <w:r w:rsidRPr="00AA045D">
                    <w:t>Clifford Chance</w:t>
                  </w:r>
                </w:p>
                <w:p w:rsidR="00F22858" w:rsidRPr="00F22858" w:rsidRDefault="00AA045D" w:rsidP="00F22858">
                  <w:r w:rsidRPr="00AA045D">
                    <w:t>Allen and Overy</w:t>
                  </w:r>
                </w:p>
                <w:p w:rsidR="00F22858" w:rsidRPr="00F22858" w:rsidRDefault="00AA045D" w:rsidP="00F22858">
                  <w:r w:rsidRPr="00AA045D">
                    <w:t>Taylor Wessing</w:t>
                  </w:r>
                </w:p>
                <w:p w:rsidR="00F22858" w:rsidRPr="00F22858" w:rsidRDefault="00AA045D" w:rsidP="00F22858">
                  <w:r w:rsidRPr="00AA045D">
                    <w:t>Addleshaw Goddard</w:t>
                  </w:r>
                </w:p>
                <w:p w:rsidR="00A402A4" w:rsidRPr="000624DD" w:rsidRDefault="00A402A4" w:rsidP="00A402A4"/>
                <w:p w:rsidR="00A402A4" w:rsidRPr="000624DD" w:rsidRDefault="00D545F4" w:rsidP="00A402A4">
                  <w:pPr>
                    <w:rPr>
                      <w:b/>
                    </w:rPr>
                  </w:pPr>
                  <w:r>
                    <w:rPr>
                      <w:b/>
                    </w:rPr>
                    <w:t>Bankers</w:t>
                  </w:r>
                </w:p>
                <w:p w:rsidR="00A402A4" w:rsidRDefault="00D545F4" w:rsidP="00A402A4">
                  <w:pPr>
                    <w:rPr>
                      <w:b/>
                    </w:rPr>
                  </w:pPr>
                  <w:r>
                    <w:t>National Westminster</w:t>
                  </w:r>
                </w:p>
              </w:tc>
            </w:tr>
          </w:tbl>
          <w:p w:rsidR="00A402A4" w:rsidRDefault="00A402A4" w:rsidP="00AC3D87">
            <w:pPr>
              <w:ind w:left="284" w:hanging="284"/>
              <w:rPr>
                <w:b/>
              </w:rPr>
            </w:pPr>
          </w:p>
        </w:tc>
      </w:tr>
    </w:tbl>
    <w:p w:rsidR="00217B40" w:rsidRDefault="00217B40">
      <w:pPr>
        <w:rPr>
          <w:b/>
          <w:snapToGrid w:val="0"/>
          <w:sz w:val="28"/>
          <w:lang w:eastAsia="en-US"/>
        </w:rPr>
      </w:pPr>
    </w:p>
    <w:p w:rsidR="00FA67FD" w:rsidRDefault="00FA67FD" w:rsidP="00FA67FD">
      <w:pPr>
        <w:ind w:left="360"/>
        <w:rPr>
          <w:b/>
          <w:snapToGrid w:val="0"/>
          <w:sz w:val="28"/>
          <w:szCs w:val="28"/>
          <w:lang w:eastAsia="en-US"/>
        </w:rPr>
      </w:pPr>
    </w:p>
    <w:p w:rsidR="00FA67FD" w:rsidRDefault="00FA67FD" w:rsidP="00FA67FD">
      <w:pPr>
        <w:ind w:left="360"/>
        <w:rPr>
          <w:b/>
          <w:snapToGrid w:val="0"/>
          <w:sz w:val="28"/>
          <w:szCs w:val="28"/>
          <w:lang w:eastAsia="en-US"/>
        </w:rPr>
      </w:pPr>
    </w:p>
    <w:p w:rsidR="000F6522" w:rsidRPr="00FA67FD" w:rsidRDefault="000F6522" w:rsidP="00FA67FD">
      <w:pPr>
        <w:ind w:left="360"/>
        <w:rPr>
          <w:b/>
          <w:snapToGrid w:val="0"/>
          <w:sz w:val="28"/>
          <w:szCs w:val="28"/>
          <w:lang w:eastAsia="en-US"/>
        </w:rPr>
      </w:pPr>
    </w:p>
    <w:p w:rsidR="00FC5EDB" w:rsidRDefault="000F6522" w:rsidP="00FA67FD">
      <w:pPr>
        <w:numPr>
          <w:ilvl w:val="0"/>
          <w:numId w:val="10"/>
        </w:numPr>
        <w:rPr>
          <w:b/>
          <w:snapToGrid w:val="0"/>
          <w:sz w:val="28"/>
          <w:szCs w:val="28"/>
          <w:lang w:eastAsia="en-US"/>
        </w:rPr>
      </w:pPr>
      <w:r>
        <w:rPr>
          <w:b/>
          <w:snapToGrid w:val="0"/>
          <w:sz w:val="28"/>
          <w:szCs w:val="28"/>
          <w:lang w:eastAsia="en-US"/>
        </w:rPr>
        <w:t>Foreword by the Chair of the Pension Fund Committee and Treasurer to the Pension Fund</w:t>
      </w:r>
      <w:r w:rsidR="00D545F4" w:rsidRPr="00FA67FD">
        <w:rPr>
          <w:b/>
          <w:snapToGrid w:val="0"/>
          <w:sz w:val="28"/>
          <w:szCs w:val="28"/>
          <w:lang w:eastAsia="en-US"/>
        </w:rPr>
        <w:t xml:space="preserve"> </w:t>
      </w:r>
    </w:p>
    <w:p w:rsidR="000F6522" w:rsidRPr="00FA67FD" w:rsidRDefault="000F6522" w:rsidP="000F6522">
      <w:pPr>
        <w:ind w:left="360"/>
        <w:rPr>
          <w:b/>
          <w:snapToGrid w:val="0"/>
          <w:sz w:val="28"/>
          <w:szCs w:val="28"/>
          <w:lang w:eastAsia="en-US"/>
        </w:rPr>
      </w:pPr>
    </w:p>
    <w:p w:rsidR="000F6522" w:rsidRDefault="000F6522" w:rsidP="000F6522">
      <w:r>
        <w:t>Welcome to the Annual Report of the Lancashire County Pension Fund for 2013/14. As you can see from the information elsewhere in this report it has been an eventful year for the Fund. Amongst other things we have:</w:t>
      </w:r>
    </w:p>
    <w:p w:rsidR="000F6522" w:rsidRDefault="000F6522" w:rsidP="000F6522">
      <w:pPr>
        <w:ind w:left="426"/>
      </w:pPr>
    </w:p>
    <w:p w:rsidR="000F6522" w:rsidRDefault="000F6522" w:rsidP="000F6522">
      <w:pPr>
        <w:pStyle w:val="ListParagraph"/>
        <w:numPr>
          <w:ilvl w:val="0"/>
          <w:numId w:val="39"/>
        </w:numPr>
        <w:spacing w:after="160" w:line="259" w:lineRule="auto"/>
        <w:ind w:left="993" w:hanging="426"/>
      </w:pPr>
      <w:r>
        <w:t>Implemented the enormous changes to the nature of the scheme brought about by the LGPS 2014 reforms.</w:t>
      </w:r>
    </w:p>
    <w:p w:rsidR="000F6522" w:rsidRDefault="000F6522" w:rsidP="000F6522">
      <w:pPr>
        <w:pStyle w:val="ListParagraph"/>
        <w:numPr>
          <w:ilvl w:val="0"/>
          <w:numId w:val="39"/>
        </w:numPr>
        <w:spacing w:after="160" w:line="259" w:lineRule="auto"/>
        <w:ind w:left="993" w:hanging="426"/>
      </w:pPr>
      <w:r>
        <w:t>Undertaken the latest actuarial valuation of the Fund, which has allowed us to achieve some degree of stability in employer contributions for the next three years.</w:t>
      </w:r>
    </w:p>
    <w:p w:rsidR="000F6522" w:rsidRDefault="000F6522" w:rsidP="000F6522">
      <w:pPr>
        <w:pStyle w:val="ListParagraph"/>
        <w:numPr>
          <w:ilvl w:val="0"/>
          <w:numId w:val="39"/>
        </w:numPr>
        <w:spacing w:after="160" w:line="259" w:lineRule="auto"/>
        <w:ind w:left="993" w:hanging="426"/>
      </w:pPr>
      <w:r>
        <w:t>Continued to move forward our investment strategy, particularly in the area of credit strategies.</w:t>
      </w:r>
    </w:p>
    <w:p w:rsidR="000F6522" w:rsidRDefault="000F6522" w:rsidP="000F6522">
      <w:pPr>
        <w:pStyle w:val="ListParagraph"/>
        <w:numPr>
          <w:ilvl w:val="0"/>
          <w:numId w:val="39"/>
        </w:numPr>
        <w:spacing w:after="160" w:line="259" w:lineRule="auto"/>
        <w:ind w:left="993" w:hanging="426"/>
      </w:pPr>
      <w:r>
        <w:t>Expanded our direct investments in infrastructure and begun to undertake some larger scale development within the property portfolio.</w:t>
      </w:r>
    </w:p>
    <w:p w:rsidR="000F6522" w:rsidRDefault="004B3F2D" w:rsidP="000F6522">
      <w:r>
        <w:t>A</w:t>
      </w:r>
      <w:r w:rsidR="000F6522">
        <w:t>t the same time all of this has been going on we have continued to provide assistance to our ever-growing number of employers in managing both the auto-enrolment process and the pension consequences of the ongoing reductions in the scale of the public sector workforce.</w:t>
      </w:r>
    </w:p>
    <w:p w:rsidR="001A06D6" w:rsidRDefault="001A06D6" w:rsidP="000F6522"/>
    <w:p w:rsidR="000F6522" w:rsidRDefault="000F6522" w:rsidP="000F6522">
      <w:r>
        <w:t>We were delighted that our work to promote membership of the Local Government Pension Scheme and more generally to improve the experience of users of the Fund's services was recognised with the Quality of Service Award at the Local Government Chronicle Investment Awards.</w:t>
      </w:r>
    </w:p>
    <w:p w:rsidR="000F6522" w:rsidRDefault="000F6522" w:rsidP="000F6522"/>
    <w:p w:rsidR="000F6522" w:rsidRDefault="000F6522" w:rsidP="000F6522">
      <w:r>
        <w:t xml:space="preserve">The context in which the Fund is operating continues to be challenging. The world's financial markets continued to be extremely volatile and in this context the implementation of the Fund's strategy of reducing the level of exposure to market volatility while broadly maintaining returns and outperforming the assumptions made by the actuary in setting contribution rates represents a solid achievement. </w:t>
      </w:r>
    </w:p>
    <w:p w:rsidR="000F6522" w:rsidRDefault="000F6522" w:rsidP="000F6522"/>
    <w:p w:rsidR="000F6522" w:rsidRDefault="000F6522" w:rsidP="000F6522">
      <w:r>
        <w:t>Equally challenging is the continuing pace of change in the world of the Local Government Pension Scheme. The coming year will see the implementation of new Governance Regulations which will create a new Pension Board to oversee the work of the Pension Fund Committee and the County Council, as the Administering Authority, in the running of the Fund. We will also see the results of the Government's consultation on their proposals for achieving reductions in the cost of running the scheme which are likely to impact on the investment strategies of all 89 LGPS funds in England and Wales. More locally we will also see the results of work being done to improve the way in which the Fund engages with the issue of Socially Responsible Investment.</w:t>
      </w:r>
    </w:p>
    <w:p w:rsidR="000F6522" w:rsidRDefault="000F6522" w:rsidP="000F6522"/>
    <w:p w:rsidR="000F6522" w:rsidRDefault="000F6522" w:rsidP="000F6522">
      <w:r>
        <w:t>The pace and pressure of change will not reduce going forward. However, as this report shows the focus for the Lancashire County Pension Fund continues to be on achieving the simple objective of ensuring that the resources are available to ensure the payment of pensions when they become due.</w:t>
      </w:r>
    </w:p>
    <w:p w:rsidR="00082C92" w:rsidRDefault="00082C92" w:rsidP="00730387">
      <w:pPr>
        <w:rPr>
          <w:rFonts w:ascii="ArialMT" w:hAnsi="ArialMT" w:cs="ArialMT"/>
          <w:color w:val="000000"/>
          <w:szCs w:val="24"/>
          <w:highlight w:val="yellow"/>
        </w:rPr>
      </w:pPr>
    </w:p>
    <w:p w:rsidR="000F6522" w:rsidRDefault="000F6522" w:rsidP="00730387">
      <w:pPr>
        <w:rPr>
          <w:rFonts w:ascii="ArialMT" w:hAnsi="ArialMT" w:cs="ArialMT"/>
          <w:color w:val="000000"/>
          <w:szCs w:val="24"/>
          <w:highlight w:val="yellow"/>
        </w:rPr>
      </w:pPr>
    </w:p>
    <w:p w:rsidR="000F6522" w:rsidRDefault="000F6522" w:rsidP="00730387">
      <w:pPr>
        <w:rPr>
          <w:rFonts w:ascii="ArialMT" w:hAnsi="ArialMT" w:cs="ArialMT"/>
          <w:color w:val="000000"/>
          <w:szCs w:val="24"/>
          <w:highlight w:val="yellow"/>
        </w:rPr>
      </w:pPr>
    </w:p>
    <w:p w:rsidR="000F6522" w:rsidRPr="00351FD6" w:rsidRDefault="000F6522" w:rsidP="00730387">
      <w:pPr>
        <w:rPr>
          <w:rFonts w:ascii="ArialMT" w:hAnsi="ArialMT" w:cs="ArialMT"/>
          <w:color w:val="000000"/>
          <w:szCs w:val="24"/>
          <w:highlight w:val="yellow"/>
        </w:rPr>
      </w:pPr>
    </w:p>
    <w:p w:rsidR="00730387" w:rsidRPr="00351FD6" w:rsidRDefault="00730387" w:rsidP="00730387">
      <w:pPr>
        <w:rPr>
          <w:rFonts w:ascii="ArialMT" w:hAnsi="ArialMT" w:cs="ArialMT"/>
          <w:color w:val="000000"/>
          <w:szCs w:val="24"/>
          <w:highlight w:val="yellow"/>
        </w:rPr>
      </w:pPr>
    </w:p>
    <w:p w:rsidR="00A228CE" w:rsidRDefault="003C04C2" w:rsidP="00F8562A">
      <w:pPr>
        <w:autoSpaceDE w:val="0"/>
        <w:autoSpaceDN w:val="0"/>
        <w:adjustRightInd w:val="0"/>
        <w:rPr>
          <w:rFonts w:ascii="ArialMT" w:hAnsi="ArialMT" w:cs="ArialMT"/>
          <w:color w:val="000000"/>
          <w:szCs w:val="24"/>
        </w:rPr>
      </w:pPr>
      <w:r>
        <w:rPr>
          <w:rFonts w:ascii="ArialMT" w:hAnsi="ArialMT" w:cs="ArialMT"/>
          <w:noProof/>
          <w:color w:val="000000"/>
          <w:szCs w:val="24"/>
        </w:rPr>
        <w:lastRenderedPageBreak/>
        <w:drawing>
          <wp:inline distT="0" distB="0" distL="0" distR="0">
            <wp:extent cx="1999488" cy="3005328"/>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C Terry Burns photograph for Chair's state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488" cy="3005328"/>
                    </a:xfrm>
                    <a:prstGeom prst="rect">
                      <a:avLst/>
                    </a:prstGeom>
                  </pic:spPr>
                </pic:pic>
              </a:graphicData>
            </a:graphic>
          </wp:inline>
        </w:drawing>
      </w:r>
      <w:r>
        <w:rPr>
          <w:rFonts w:ascii="ArialMT" w:hAnsi="ArialMT" w:cs="ArialMT"/>
          <w:color w:val="000000"/>
          <w:szCs w:val="24"/>
        </w:rPr>
        <w:t xml:space="preserve">             </w:t>
      </w:r>
      <w:r>
        <w:rPr>
          <w:rFonts w:ascii="ArialMT" w:hAnsi="ArialMT" w:cs="ArialMT"/>
          <w:color w:val="000000"/>
          <w:szCs w:val="24"/>
        </w:rPr>
        <w:tab/>
        <w:t xml:space="preserve">            </w:t>
      </w:r>
      <w:r>
        <w:rPr>
          <w:rFonts w:ascii="ArialMT" w:hAnsi="ArialMT" w:cs="ArialMT"/>
          <w:noProof/>
          <w:color w:val="000000"/>
          <w:szCs w:val="24"/>
        </w:rPr>
        <w:drawing>
          <wp:inline distT="0" distB="0" distL="0" distR="0">
            <wp:extent cx="2002202" cy="300891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ll kilpatrick photograph.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7573" cy="3032018"/>
                    </a:xfrm>
                    <a:prstGeom prst="rect">
                      <a:avLst/>
                    </a:prstGeom>
                  </pic:spPr>
                </pic:pic>
              </a:graphicData>
            </a:graphic>
          </wp:inline>
        </w:drawing>
      </w:r>
      <w:r>
        <w:rPr>
          <w:rFonts w:ascii="ArialMT" w:hAnsi="ArialMT" w:cs="ArialMT"/>
          <w:color w:val="000000"/>
          <w:szCs w:val="24"/>
        </w:rPr>
        <w:t xml:space="preserve">     </w:t>
      </w:r>
    </w:p>
    <w:p w:rsidR="000F6522" w:rsidRPr="00A228CE" w:rsidRDefault="000F6522" w:rsidP="00E8139E">
      <w:pPr>
        <w:autoSpaceDE w:val="0"/>
        <w:autoSpaceDN w:val="0"/>
        <w:adjustRightInd w:val="0"/>
        <w:jc w:val="center"/>
        <w:rPr>
          <w:rFonts w:ascii="ArialMT" w:hAnsi="ArialMT" w:cs="ArialMT"/>
          <w:color w:val="000000"/>
          <w:szCs w:val="24"/>
        </w:rPr>
      </w:pPr>
    </w:p>
    <w:p w:rsidR="00217B40" w:rsidRPr="00FA67FD" w:rsidRDefault="00217B40" w:rsidP="00217B40">
      <w:pPr>
        <w:autoSpaceDE w:val="0"/>
        <w:autoSpaceDN w:val="0"/>
        <w:adjustRightInd w:val="0"/>
        <w:rPr>
          <w:rFonts w:ascii="ArialMT" w:hAnsi="ArialMT" w:cs="ArialMT"/>
          <w:color w:val="000000"/>
          <w:szCs w:val="24"/>
          <w:highlight w:val="yellow"/>
        </w:rPr>
      </w:pPr>
      <w:r w:rsidRPr="00FA67FD">
        <w:rPr>
          <w:rFonts w:ascii="ArialMT" w:hAnsi="ArialMT" w:cs="ArialMT"/>
          <w:color w:val="4F81BD"/>
          <w:szCs w:val="24"/>
          <w:highlight w:val="yellow"/>
        </w:rPr>
        <w:t xml:space="preserve"> </w:t>
      </w:r>
    </w:p>
    <w:p w:rsidR="00730387" w:rsidRPr="00E21C30" w:rsidRDefault="00730387" w:rsidP="00730387">
      <w:pPr>
        <w:rPr>
          <w:rFonts w:ascii="ArialMT" w:hAnsi="ArialMT" w:cs="ArialMT"/>
          <w:color w:val="000000"/>
          <w:szCs w:val="24"/>
          <w:highlight w:val="yellow"/>
        </w:rPr>
      </w:pPr>
    </w:p>
    <w:tbl>
      <w:tblPr>
        <w:tblW w:w="0" w:type="auto"/>
        <w:tblLook w:val="04A0" w:firstRow="1" w:lastRow="0" w:firstColumn="1" w:lastColumn="0" w:noHBand="0" w:noVBand="1"/>
      </w:tblPr>
      <w:tblGrid>
        <w:gridCol w:w="4928"/>
        <w:gridCol w:w="4925"/>
      </w:tblGrid>
      <w:tr w:rsidR="00730387" w:rsidRPr="00E21C30" w:rsidTr="00F533C3">
        <w:tc>
          <w:tcPr>
            <w:tcW w:w="4928" w:type="dxa"/>
          </w:tcPr>
          <w:p w:rsidR="00730387" w:rsidRPr="00217B40" w:rsidRDefault="00174BE9" w:rsidP="00F533C3">
            <w:pPr>
              <w:autoSpaceDE w:val="0"/>
              <w:autoSpaceDN w:val="0"/>
              <w:adjustRightInd w:val="0"/>
              <w:rPr>
                <w:rFonts w:ascii="ArialMT" w:hAnsi="ArialMT" w:cs="ArialMT"/>
                <w:color w:val="000000"/>
                <w:szCs w:val="24"/>
              </w:rPr>
            </w:pPr>
            <w:r>
              <w:rPr>
                <w:rFonts w:ascii="ArialMT" w:hAnsi="ArialMT" w:cs="ArialMT"/>
                <w:color w:val="000000"/>
                <w:szCs w:val="24"/>
              </w:rPr>
              <w:t xml:space="preserve">Cllr </w:t>
            </w:r>
            <w:r w:rsidR="00AA045D" w:rsidRPr="00AA045D">
              <w:rPr>
                <w:rFonts w:ascii="ArialMT" w:hAnsi="ArialMT" w:cs="ArialMT"/>
                <w:color w:val="000000"/>
                <w:szCs w:val="24"/>
              </w:rPr>
              <w:t>T Burns</w:t>
            </w:r>
            <w:r w:rsidR="00D545F4">
              <w:rPr>
                <w:rFonts w:ascii="ArialMT" w:hAnsi="ArialMT" w:cs="ArialMT"/>
                <w:color w:val="000000"/>
                <w:szCs w:val="24"/>
              </w:rPr>
              <w:tab/>
            </w:r>
            <w:r w:rsidR="00D545F4">
              <w:rPr>
                <w:rFonts w:ascii="ArialMT" w:hAnsi="ArialMT" w:cs="ArialMT"/>
                <w:color w:val="000000"/>
                <w:szCs w:val="24"/>
              </w:rPr>
              <w:tab/>
            </w:r>
          </w:p>
        </w:tc>
        <w:tc>
          <w:tcPr>
            <w:tcW w:w="4925" w:type="dxa"/>
          </w:tcPr>
          <w:p w:rsidR="00730387" w:rsidRPr="00217B40" w:rsidRDefault="00D545F4" w:rsidP="00F533C3">
            <w:pPr>
              <w:autoSpaceDE w:val="0"/>
              <w:autoSpaceDN w:val="0"/>
              <w:adjustRightInd w:val="0"/>
              <w:rPr>
                <w:rFonts w:ascii="ArialMT" w:hAnsi="ArialMT" w:cs="ArialMT"/>
                <w:color w:val="000000"/>
                <w:szCs w:val="24"/>
              </w:rPr>
            </w:pPr>
            <w:r>
              <w:rPr>
                <w:rFonts w:ascii="ArialMT" w:hAnsi="ArialMT" w:cs="ArialMT"/>
                <w:color w:val="000000"/>
                <w:szCs w:val="24"/>
              </w:rPr>
              <w:t>G Kilpatrick CPFA</w:t>
            </w:r>
          </w:p>
        </w:tc>
      </w:tr>
      <w:tr w:rsidR="00730387" w:rsidRPr="007C157F" w:rsidTr="00F533C3">
        <w:tc>
          <w:tcPr>
            <w:tcW w:w="4928" w:type="dxa"/>
          </w:tcPr>
          <w:p w:rsidR="00730387" w:rsidRPr="00217B40" w:rsidRDefault="00D545F4" w:rsidP="00F533C3">
            <w:pPr>
              <w:autoSpaceDE w:val="0"/>
              <w:autoSpaceDN w:val="0"/>
              <w:adjustRightInd w:val="0"/>
              <w:rPr>
                <w:rFonts w:ascii="ArialMT" w:hAnsi="ArialMT" w:cs="ArialMT"/>
                <w:color w:val="000000"/>
                <w:szCs w:val="24"/>
              </w:rPr>
            </w:pPr>
            <w:r>
              <w:rPr>
                <w:rFonts w:ascii="ArialMT" w:hAnsi="ArialMT" w:cs="ArialMT"/>
                <w:color w:val="000000"/>
                <w:szCs w:val="24"/>
              </w:rPr>
              <w:t xml:space="preserve">Chair </w:t>
            </w:r>
            <w:r w:rsidR="00ED13B1">
              <w:rPr>
                <w:rFonts w:ascii="ArialMT" w:hAnsi="ArialMT" w:cs="ArialMT"/>
                <w:color w:val="000000"/>
                <w:szCs w:val="24"/>
              </w:rPr>
              <w:t xml:space="preserve"> </w:t>
            </w:r>
            <w:r>
              <w:rPr>
                <w:rFonts w:ascii="ArialMT" w:hAnsi="ArialMT" w:cs="ArialMT"/>
                <w:color w:val="000000"/>
                <w:szCs w:val="24"/>
              </w:rPr>
              <w:t>of the Pension Fund Committee</w:t>
            </w:r>
          </w:p>
          <w:p w:rsidR="00730387" w:rsidRPr="00217B40" w:rsidRDefault="00730387" w:rsidP="00F533C3">
            <w:pPr>
              <w:autoSpaceDE w:val="0"/>
              <w:autoSpaceDN w:val="0"/>
              <w:adjustRightInd w:val="0"/>
              <w:rPr>
                <w:rFonts w:ascii="ArialMT" w:hAnsi="ArialMT" w:cs="ArialMT"/>
                <w:color w:val="000000"/>
                <w:szCs w:val="24"/>
              </w:rPr>
            </w:pPr>
          </w:p>
        </w:tc>
        <w:tc>
          <w:tcPr>
            <w:tcW w:w="4925" w:type="dxa"/>
          </w:tcPr>
          <w:p w:rsidR="00730387" w:rsidRDefault="00D545F4" w:rsidP="00F533C3">
            <w:pPr>
              <w:autoSpaceDE w:val="0"/>
              <w:autoSpaceDN w:val="0"/>
              <w:adjustRightInd w:val="0"/>
              <w:rPr>
                <w:rFonts w:ascii="ArialMT" w:hAnsi="ArialMT" w:cs="ArialMT"/>
                <w:color w:val="000000"/>
                <w:szCs w:val="24"/>
              </w:rPr>
            </w:pPr>
            <w:r>
              <w:rPr>
                <w:rFonts w:ascii="ArialMT" w:hAnsi="ArialMT" w:cs="ArialMT"/>
                <w:color w:val="000000"/>
                <w:szCs w:val="24"/>
              </w:rPr>
              <w:t>County Treasurer and Treasurer to the Lancashire County Pension Fund</w:t>
            </w:r>
          </w:p>
          <w:p w:rsidR="00440FAC" w:rsidRDefault="00440FAC" w:rsidP="00F533C3">
            <w:pPr>
              <w:autoSpaceDE w:val="0"/>
              <w:autoSpaceDN w:val="0"/>
              <w:adjustRightInd w:val="0"/>
              <w:rPr>
                <w:rFonts w:ascii="ArialMT" w:hAnsi="ArialMT" w:cs="ArialMT"/>
                <w:color w:val="000000"/>
                <w:szCs w:val="24"/>
              </w:rPr>
            </w:pPr>
          </w:p>
          <w:p w:rsidR="00440FAC" w:rsidRPr="00217B40" w:rsidRDefault="00440FAC" w:rsidP="00F533C3">
            <w:pPr>
              <w:autoSpaceDE w:val="0"/>
              <w:autoSpaceDN w:val="0"/>
              <w:adjustRightInd w:val="0"/>
              <w:rPr>
                <w:rFonts w:ascii="ArialMT" w:hAnsi="ArialMT" w:cs="ArialMT"/>
                <w:color w:val="000000"/>
                <w:szCs w:val="24"/>
              </w:rPr>
            </w:pPr>
          </w:p>
        </w:tc>
      </w:tr>
    </w:tbl>
    <w:p w:rsidR="00880512" w:rsidRPr="0095309D" w:rsidRDefault="00880512" w:rsidP="00642CDA">
      <w:pPr>
        <w:rPr>
          <w:rFonts w:ascii="ArialMT" w:hAnsi="ArialMT" w:cs="ArialMT"/>
          <w:color w:val="000000"/>
          <w:szCs w:val="24"/>
        </w:rPr>
      </w:pPr>
    </w:p>
    <w:tbl>
      <w:tblPr>
        <w:tblW w:w="0" w:type="auto"/>
        <w:tblLook w:val="04A0" w:firstRow="1" w:lastRow="0" w:firstColumn="1" w:lastColumn="0" w:noHBand="0" w:noVBand="1"/>
      </w:tblPr>
      <w:tblGrid>
        <w:gridCol w:w="4928"/>
        <w:gridCol w:w="4925"/>
      </w:tblGrid>
      <w:tr w:rsidR="00993012" w:rsidRPr="00D14D29" w:rsidTr="007C157F">
        <w:tc>
          <w:tcPr>
            <w:tcW w:w="4928" w:type="dxa"/>
          </w:tcPr>
          <w:p w:rsidR="00993012" w:rsidRPr="00D14D29" w:rsidRDefault="00993012" w:rsidP="00583F69">
            <w:pPr>
              <w:autoSpaceDE w:val="0"/>
              <w:autoSpaceDN w:val="0"/>
              <w:adjustRightInd w:val="0"/>
              <w:rPr>
                <w:rFonts w:ascii="ArialMT" w:hAnsi="ArialMT" w:cs="ArialMT"/>
                <w:color w:val="000000"/>
                <w:szCs w:val="24"/>
                <w:highlight w:val="yellow"/>
              </w:rPr>
            </w:pPr>
          </w:p>
        </w:tc>
        <w:tc>
          <w:tcPr>
            <w:tcW w:w="4925" w:type="dxa"/>
          </w:tcPr>
          <w:p w:rsidR="00993012" w:rsidRPr="00D14D29" w:rsidRDefault="00993012" w:rsidP="008C548A">
            <w:pPr>
              <w:autoSpaceDE w:val="0"/>
              <w:autoSpaceDN w:val="0"/>
              <w:adjustRightInd w:val="0"/>
              <w:rPr>
                <w:rFonts w:ascii="ArialMT" w:hAnsi="ArialMT" w:cs="ArialMT"/>
                <w:color w:val="000000"/>
                <w:szCs w:val="24"/>
                <w:highlight w:val="yellow"/>
              </w:rPr>
            </w:pPr>
          </w:p>
        </w:tc>
      </w:tr>
      <w:tr w:rsidR="00993012" w:rsidRPr="007C157F" w:rsidTr="007C157F">
        <w:tc>
          <w:tcPr>
            <w:tcW w:w="4928" w:type="dxa"/>
          </w:tcPr>
          <w:p w:rsidR="00993012" w:rsidRPr="00D14D29" w:rsidRDefault="00993012" w:rsidP="007C157F">
            <w:pPr>
              <w:autoSpaceDE w:val="0"/>
              <w:autoSpaceDN w:val="0"/>
              <w:adjustRightInd w:val="0"/>
              <w:rPr>
                <w:rFonts w:ascii="ArialMT" w:hAnsi="ArialMT" w:cs="ArialMT"/>
                <w:color w:val="000000"/>
                <w:szCs w:val="24"/>
                <w:highlight w:val="yellow"/>
              </w:rPr>
            </w:pPr>
          </w:p>
        </w:tc>
        <w:tc>
          <w:tcPr>
            <w:tcW w:w="4925" w:type="dxa"/>
          </w:tcPr>
          <w:p w:rsidR="00993012" w:rsidRPr="008C548A" w:rsidRDefault="00993012" w:rsidP="007C157F">
            <w:pPr>
              <w:autoSpaceDE w:val="0"/>
              <w:autoSpaceDN w:val="0"/>
              <w:adjustRightInd w:val="0"/>
              <w:rPr>
                <w:rFonts w:ascii="ArialMT" w:hAnsi="ArialMT" w:cs="ArialMT"/>
                <w:color w:val="000000"/>
                <w:szCs w:val="24"/>
              </w:rPr>
            </w:pPr>
          </w:p>
        </w:tc>
      </w:tr>
    </w:tbl>
    <w:p w:rsidR="00E31FB3" w:rsidRDefault="00E31FB3" w:rsidP="00F8562A">
      <w:pPr>
        <w:pStyle w:val="Heading1"/>
        <w:spacing w:before="0" w:after="0"/>
        <w:rPr>
          <w:b w:val="0"/>
          <w:kern w:val="0"/>
          <w:sz w:val="24"/>
          <w:lang w:eastAsia="en-US"/>
        </w:rPr>
      </w:pPr>
    </w:p>
    <w:p w:rsidR="00440FAC" w:rsidRDefault="00440FAC" w:rsidP="00440FAC">
      <w:pPr>
        <w:rPr>
          <w:lang w:eastAsia="en-US"/>
        </w:rPr>
      </w:pPr>
    </w:p>
    <w:p w:rsidR="00440FAC" w:rsidRDefault="00440FAC" w:rsidP="00440FAC">
      <w:pPr>
        <w:rPr>
          <w:lang w:eastAsia="en-US"/>
        </w:rPr>
      </w:pPr>
    </w:p>
    <w:p w:rsidR="00440FAC" w:rsidRDefault="00440FAC" w:rsidP="00440FAC">
      <w:pPr>
        <w:rPr>
          <w:lang w:eastAsia="en-US"/>
        </w:rPr>
      </w:pPr>
    </w:p>
    <w:p w:rsidR="00440FAC" w:rsidRDefault="00440FAC"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0F6522" w:rsidRDefault="000F6522" w:rsidP="00440FAC">
      <w:pPr>
        <w:rPr>
          <w:lang w:eastAsia="en-US"/>
        </w:rPr>
      </w:pPr>
    </w:p>
    <w:p w:rsidR="00675DC0" w:rsidRDefault="00675DC0" w:rsidP="00440FAC">
      <w:pPr>
        <w:rPr>
          <w:lang w:eastAsia="en-US"/>
        </w:rPr>
      </w:pPr>
    </w:p>
    <w:p w:rsidR="00675DC0" w:rsidRDefault="00675DC0" w:rsidP="00440FAC">
      <w:pPr>
        <w:rPr>
          <w:lang w:eastAsia="en-US"/>
        </w:rPr>
      </w:pPr>
    </w:p>
    <w:p w:rsidR="0053604B" w:rsidRDefault="0053604B" w:rsidP="00440FAC">
      <w:pPr>
        <w:rPr>
          <w:lang w:eastAsia="en-US"/>
        </w:rPr>
      </w:pPr>
    </w:p>
    <w:p w:rsidR="0053604B" w:rsidRDefault="0053604B" w:rsidP="00440FAC">
      <w:pPr>
        <w:rPr>
          <w:lang w:eastAsia="en-US"/>
        </w:rPr>
      </w:pPr>
    </w:p>
    <w:p w:rsidR="00F8562A" w:rsidRDefault="00F8562A" w:rsidP="00440FAC">
      <w:pPr>
        <w:rPr>
          <w:lang w:eastAsia="en-US"/>
        </w:rPr>
      </w:pPr>
    </w:p>
    <w:p w:rsidR="00F8562A" w:rsidRDefault="00F8562A" w:rsidP="00440FAC">
      <w:pPr>
        <w:rPr>
          <w:lang w:eastAsia="en-US"/>
        </w:rPr>
      </w:pPr>
    </w:p>
    <w:p w:rsidR="00675DC0" w:rsidRDefault="00675DC0" w:rsidP="00440FAC">
      <w:pPr>
        <w:rPr>
          <w:lang w:eastAsia="en-US"/>
        </w:rPr>
      </w:pPr>
    </w:p>
    <w:p w:rsidR="00675DC0" w:rsidRDefault="00675DC0" w:rsidP="00440FAC">
      <w:pPr>
        <w:rPr>
          <w:lang w:eastAsia="en-US"/>
        </w:rPr>
      </w:pPr>
    </w:p>
    <w:p w:rsidR="000F6522" w:rsidRDefault="000F6522" w:rsidP="00440FAC">
      <w:pPr>
        <w:rPr>
          <w:lang w:eastAsia="en-US"/>
        </w:rPr>
      </w:pPr>
    </w:p>
    <w:p w:rsidR="00E31FB3" w:rsidRDefault="00561559" w:rsidP="00726E6C">
      <w:pPr>
        <w:pStyle w:val="Heading1"/>
        <w:numPr>
          <w:ilvl w:val="0"/>
          <w:numId w:val="18"/>
        </w:numPr>
        <w:spacing w:before="0" w:after="0"/>
        <w:rPr>
          <w:snapToGrid w:val="0"/>
          <w:color w:val="000000"/>
          <w:kern w:val="0"/>
          <w:lang w:eastAsia="en-US"/>
        </w:rPr>
      </w:pPr>
      <w:r>
        <w:rPr>
          <w:snapToGrid w:val="0"/>
          <w:color w:val="000000"/>
          <w:kern w:val="0"/>
          <w:lang w:eastAsia="en-US"/>
        </w:rPr>
        <w:lastRenderedPageBreak/>
        <w:t>Governance of the Fund</w:t>
      </w:r>
    </w:p>
    <w:p w:rsidR="00BA1C2E" w:rsidRPr="00D90DA1" w:rsidRDefault="00BA1C2E" w:rsidP="00BA1C2E">
      <w:pPr>
        <w:rPr>
          <w:lang w:eastAsia="en-US"/>
        </w:rPr>
      </w:pPr>
    </w:p>
    <w:p w:rsidR="00D90DA1" w:rsidRPr="00E8139E" w:rsidRDefault="00D90DA1" w:rsidP="00D90DA1">
      <w:pPr>
        <w:rPr>
          <w:lang w:eastAsia="en-US"/>
        </w:rPr>
      </w:pPr>
      <w:r w:rsidRPr="00E8139E">
        <w:rPr>
          <w:lang w:eastAsia="en-US"/>
        </w:rPr>
        <w:t>The Pension Fund Committee has considered the governance arrangements relating to the administration and investments of the Fund in the light of guidance issued by the Department for Communities and Local Government (DCLG) regarding the requirement to complete a Governance Compliance Statement, established for all areas of governance of pension fund activities.</w:t>
      </w:r>
    </w:p>
    <w:p w:rsidR="0063510B" w:rsidRPr="00E8139E" w:rsidRDefault="0063510B" w:rsidP="0063510B">
      <w:pPr>
        <w:rPr>
          <w:snapToGrid w:val="0"/>
          <w:color w:val="000000"/>
          <w:szCs w:val="24"/>
          <w:lang w:eastAsia="en-US"/>
        </w:rPr>
      </w:pPr>
    </w:p>
    <w:p w:rsidR="00FA67FD" w:rsidRDefault="00FA67FD" w:rsidP="00FA67FD">
      <w:pPr>
        <w:pStyle w:val="Heading1"/>
        <w:spacing w:before="0" w:after="0"/>
        <w:rPr>
          <w:snapToGrid w:val="0"/>
          <w:color w:val="000000"/>
          <w:kern w:val="0"/>
          <w:sz w:val="24"/>
          <w:szCs w:val="24"/>
          <w:lang w:eastAsia="en-US"/>
        </w:rPr>
      </w:pPr>
      <w:r w:rsidRPr="00E8139E">
        <w:rPr>
          <w:snapToGrid w:val="0"/>
          <w:color w:val="000000"/>
          <w:kern w:val="0"/>
          <w:sz w:val="24"/>
          <w:szCs w:val="24"/>
          <w:lang w:eastAsia="en-US"/>
        </w:rPr>
        <w:t>Lancashire County Pension Fund Governance Statement</w:t>
      </w:r>
    </w:p>
    <w:p w:rsidR="00FA67FD" w:rsidRPr="00E8139E" w:rsidRDefault="00FA67FD" w:rsidP="000F6522">
      <w:pPr>
        <w:pStyle w:val="Heading1"/>
        <w:spacing w:before="0" w:after="0"/>
        <w:ind w:left="360"/>
        <w:jc w:val="both"/>
        <w:rPr>
          <w:b w:val="0"/>
          <w:kern w:val="0"/>
          <w:sz w:val="24"/>
        </w:rPr>
      </w:pPr>
    </w:p>
    <w:p w:rsidR="00CB356C" w:rsidRDefault="00FA67FD" w:rsidP="0063510B">
      <w:r w:rsidRPr="00E8139E">
        <w:t xml:space="preserve">While the Pension Fund is not technically a separate legal entity, it does have its own specific governance arrangements and controls which sit within Lancashire County Council's overall governance framework.  Given both the scale of the Pension Fund and the very different nature of its operations from those of Lancashire County Council, the Fund is subject to a separate annual review of its governance arrangements. </w:t>
      </w:r>
      <w:r w:rsidR="0063510B">
        <w:t xml:space="preserve"> </w:t>
      </w:r>
      <w:r w:rsidR="001661A3">
        <w:t>These can be in the Fund's annual governance statement at the following link.</w:t>
      </w:r>
      <w:r w:rsidR="00CB356C">
        <w:t xml:space="preserve"> </w:t>
      </w:r>
      <w:hyperlink r:id="rId11" w:history="1">
        <w:r w:rsidR="00CB356C" w:rsidRPr="00CB356C">
          <w:rPr>
            <w:rStyle w:val="Hyperlink"/>
          </w:rPr>
          <w:t>Lancashire County Pension Fund Annual Governance Statement 2013/14</w:t>
        </w:r>
      </w:hyperlink>
    </w:p>
    <w:p w:rsidR="001661A3" w:rsidRDefault="001661A3" w:rsidP="0063510B">
      <w:pPr>
        <w:rPr>
          <w:rStyle w:val="Hyperlink"/>
          <w:lang w:eastAsia="en-US"/>
        </w:rPr>
      </w:pPr>
    </w:p>
    <w:p w:rsidR="001661A3" w:rsidRDefault="001661A3" w:rsidP="0063510B">
      <w:pPr>
        <w:rPr>
          <w:lang w:eastAsia="en-US"/>
        </w:rPr>
      </w:pPr>
      <w:r w:rsidRPr="00E8139E">
        <w:rPr>
          <w:lang w:eastAsia="en-US"/>
        </w:rPr>
        <w:t>Comprehensive terms of reference have been established for all areas of governance of pension fund activities including the Pension Fund Committee, the Investment Panel, the Administration Panel and issues delegated to the Treasurer to the Fund.</w:t>
      </w:r>
    </w:p>
    <w:p w:rsidR="00FA67FD" w:rsidRPr="00E8139E" w:rsidRDefault="00FA67FD" w:rsidP="00FA67FD"/>
    <w:p w:rsidR="00F22D07" w:rsidRPr="00E8139E" w:rsidRDefault="00AA045D" w:rsidP="00BA1C2E">
      <w:pPr>
        <w:rPr>
          <w:lang w:eastAsia="en-US"/>
        </w:rPr>
      </w:pPr>
      <w:r w:rsidRPr="00E8139E">
        <w:rPr>
          <w:lang w:eastAsia="en-US"/>
        </w:rPr>
        <w:t>The Fund’s Governance Compliance Statement is shown below reporting compliance with guidance given by the Secretary of State.</w:t>
      </w:r>
    </w:p>
    <w:p w:rsidR="00F22D07" w:rsidRPr="00E8139E" w:rsidRDefault="00F22D07" w:rsidP="00BA1C2E">
      <w:pPr>
        <w:rPr>
          <w:lang w:eastAsia="en-US"/>
        </w:rPr>
      </w:pPr>
    </w:p>
    <w:p w:rsidR="00817DB0" w:rsidRPr="00F928F3" w:rsidRDefault="00AA045D" w:rsidP="00F928F3">
      <w:pPr>
        <w:rPr>
          <w:b/>
        </w:rPr>
      </w:pPr>
      <w:r w:rsidRPr="00F928F3">
        <w:rPr>
          <w:b/>
        </w:rPr>
        <w:t>LANCASHIRE COUNTY PENSION FUND GOVERNANCE COMPLIANCE STATEMENT:</w:t>
      </w:r>
    </w:p>
    <w:p w:rsidR="00817DB0" w:rsidRPr="00F928F3" w:rsidRDefault="00817DB0" w:rsidP="00F928F3"/>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5812"/>
        <w:gridCol w:w="2835"/>
      </w:tblGrid>
      <w:tr w:rsidR="00D90DA1" w:rsidRPr="00F928F3" w:rsidTr="00F928F3">
        <w:trPr>
          <w:trHeight w:val="491"/>
        </w:trPr>
        <w:tc>
          <w:tcPr>
            <w:tcW w:w="1985" w:type="dxa"/>
            <w:vAlign w:val="center"/>
          </w:tcPr>
          <w:p w:rsidR="00D90DA1" w:rsidRPr="00F928F3" w:rsidRDefault="00AA045D" w:rsidP="00F928F3">
            <w:pPr>
              <w:rPr>
                <w:b/>
              </w:rPr>
            </w:pPr>
            <w:r w:rsidRPr="00F928F3">
              <w:rPr>
                <w:b/>
              </w:rPr>
              <w:t>Principle</w:t>
            </w:r>
          </w:p>
        </w:tc>
        <w:tc>
          <w:tcPr>
            <w:tcW w:w="5812" w:type="dxa"/>
            <w:vAlign w:val="center"/>
          </w:tcPr>
          <w:p w:rsidR="00D90DA1" w:rsidRPr="00F928F3" w:rsidRDefault="00D90DA1" w:rsidP="00F928F3">
            <w:pPr>
              <w:rPr>
                <w:b/>
              </w:rPr>
            </w:pPr>
          </w:p>
        </w:tc>
        <w:tc>
          <w:tcPr>
            <w:tcW w:w="2835" w:type="dxa"/>
            <w:vAlign w:val="center"/>
          </w:tcPr>
          <w:p w:rsidR="00D90DA1" w:rsidRPr="00F928F3" w:rsidRDefault="00D90DA1" w:rsidP="00F928F3">
            <w:pPr>
              <w:rPr>
                <w:b/>
              </w:rPr>
            </w:pPr>
            <w:r w:rsidRPr="00F928F3">
              <w:rPr>
                <w:b/>
              </w:rPr>
              <w:t>Full Compliance</w:t>
            </w:r>
          </w:p>
        </w:tc>
      </w:tr>
      <w:tr w:rsidR="00D90DA1" w:rsidRPr="00F928F3" w:rsidTr="00F928F3">
        <w:tc>
          <w:tcPr>
            <w:tcW w:w="1985" w:type="dxa"/>
          </w:tcPr>
          <w:p w:rsidR="00D90DA1" w:rsidRPr="00F928F3" w:rsidRDefault="00D90DA1" w:rsidP="00F928F3"/>
          <w:p w:rsidR="004E3B4B" w:rsidRPr="00F928F3" w:rsidRDefault="00AA045D" w:rsidP="00F928F3">
            <w:pPr>
              <w:rPr>
                <w:b/>
              </w:rPr>
            </w:pPr>
            <w:r w:rsidRPr="00F928F3">
              <w:rPr>
                <w:b/>
              </w:rPr>
              <w:t>A</w:t>
            </w:r>
            <w:r w:rsidR="004E3B4B" w:rsidRPr="00F928F3">
              <w:rPr>
                <w:b/>
              </w:rPr>
              <w:t>.</w:t>
            </w:r>
          </w:p>
          <w:p w:rsidR="00E43392" w:rsidRPr="00F928F3" w:rsidRDefault="004E3B4B" w:rsidP="00F928F3">
            <w:r w:rsidRPr="00F928F3">
              <w:rPr>
                <w:b/>
              </w:rPr>
              <w:t>S</w:t>
            </w:r>
            <w:r w:rsidR="00AA045D" w:rsidRPr="00F928F3">
              <w:rPr>
                <w:b/>
              </w:rPr>
              <w:t>tructure</w:t>
            </w:r>
          </w:p>
        </w:tc>
        <w:tc>
          <w:tcPr>
            <w:tcW w:w="5812" w:type="dxa"/>
          </w:tcPr>
          <w:p w:rsidR="00D90DA1" w:rsidRPr="00F928F3" w:rsidRDefault="00D90DA1" w:rsidP="00F928F3">
            <w:pPr>
              <w:rPr>
                <w:i/>
              </w:rPr>
            </w:pPr>
          </w:p>
          <w:p w:rsidR="00D90DA1" w:rsidRPr="00F928F3" w:rsidRDefault="00AA045D" w:rsidP="00F928F3">
            <w:pPr>
              <w:rPr>
                <w:i/>
              </w:rPr>
            </w:pPr>
            <w:r w:rsidRPr="00F928F3">
              <w:rPr>
                <w:i/>
              </w:rPr>
              <w:t>(a) the Management of the administration of benefits and strategic management of fund assets clearly rests with the main committee established by the appointing Council</w:t>
            </w:r>
          </w:p>
          <w:p w:rsidR="00D90DA1" w:rsidRPr="00F928F3" w:rsidRDefault="00D90DA1" w:rsidP="00F928F3">
            <w:pPr>
              <w:rPr>
                <w:i/>
              </w:rPr>
            </w:pPr>
          </w:p>
          <w:p w:rsidR="00D90DA1" w:rsidRPr="00F928F3" w:rsidRDefault="00AA045D" w:rsidP="00F928F3">
            <w:pPr>
              <w:rPr>
                <w:i/>
              </w:rPr>
            </w:pPr>
            <w:r w:rsidRPr="00F928F3">
              <w:rPr>
                <w:i/>
              </w:rPr>
              <w:t>(b) that representatives of participating LGPS employers, admitted bodies and scheme members (including pensioner and deferred members) are members of either the main or secondary committee established to underpin the work of the main committee(1)</w:t>
            </w:r>
          </w:p>
          <w:p w:rsidR="00D90DA1" w:rsidRPr="00F928F3" w:rsidRDefault="00D90DA1" w:rsidP="00F928F3">
            <w:pPr>
              <w:rPr>
                <w:i/>
              </w:rPr>
            </w:pPr>
          </w:p>
          <w:p w:rsidR="00D90DA1" w:rsidRPr="00F928F3" w:rsidRDefault="00AA045D" w:rsidP="00F928F3">
            <w:pPr>
              <w:rPr>
                <w:i/>
              </w:rPr>
            </w:pPr>
            <w:r w:rsidRPr="00F928F3">
              <w:rPr>
                <w:i/>
              </w:rPr>
              <w:t>(c) that where a secondary committee or panel has been established, the structure ensures effective communication across both levels.</w:t>
            </w:r>
          </w:p>
          <w:p w:rsidR="00D90DA1" w:rsidRPr="00F928F3" w:rsidRDefault="00D90DA1" w:rsidP="00F928F3">
            <w:pPr>
              <w:rPr>
                <w:i/>
              </w:rPr>
            </w:pPr>
          </w:p>
          <w:p w:rsidR="00D90DA1" w:rsidRDefault="00AA045D" w:rsidP="00F928F3">
            <w:pPr>
              <w:rPr>
                <w:i/>
              </w:rPr>
            </w:pPr>
            <w:r w:rsidRPr="00F928F3">
              <w:rPr>
                <w:i/>
              </w:rPr>
              <w:t>(d) that where a secondary committee or panel has been established, at least one seat on the main committee is allocated for a member from the secondary committee or panel.</w:t>
            </w:r>
          </w:p>
          <w:p w:rsidR="00F928F3" w:rsidRPr="00F928F3" w:rsidRDefault="00F928F3" w:rsidP="00F928F3">
            <w:pPr>
              <w:rPr>
                <w:i/>
              </w:rPr>
            </w:pPr>
          </w:p>
        </w:tc>
        <w:tc>
          <w:tcPr>
            <w:tcW w:w="2835" w:type="dxa"/>
          </w:tcPr>
          <w:p w:rsidR="00D90DA1" w:rsidRPr="00F928F3" w:rsidRDefault="00D90DA1" w:rsidP="00F928F3"/>
          <w:p w:rsidR="00F928F3" w:rsidRPr="00E8139E" w:rsidRDefault="00F928F3" w:rsidP="00F928F3">
            <w:pPr>
              <w:jc w:val="center"/>
              <w:rPr>
                <w:sz w:val="40"/>
                <w:szCs w:val="40"/>
              </w:rPr>
            </w:pPr>
            <w:r w:rsidRPr="00E8139E">
              <w:rPr>
                <w:sz w:val="40"/>
                <w:szCs w:val="40"/>
              </w:rPr>
              <w:sym w:font="Wingdings" w:char="F0FC"/>
            </w:r>
          </w:p>
          <w:p w:rsidR="00D90DA1" w:rsidRPr="00F928F3" w:rsidRDefault="00D90DA1" w:rsidP="00F928F3">
            <w:pPr>
              <w:rPr>
                <w:b/>
              </w:rPr>
            </w:pPr>
          </w:p>
          <w:p w:rsidR="00D90DA1" w:rsidRPr="00F928F3" w:rsidRDefault="00D90DA1" w:rsidP="00F928F3">
            <w:pPr>
              <w:rPr>
                <w:b/>
              </w:rPr>
            </w:pPr>
          </w:p>
          <w:p w:rsidR="00F928F3" w:rsidRDefault="00F928F3" w:rsidP="00F928F3">
            <w:pPr>
              <w:rPr>
                <w:b/>
              </w:rPr>
            </w:pPr>
          </w:p>
          <w:p w:rsidR="00F928F3" w:rsidRDefault="00F928F3" w:rsidP="00F928F3">
            <w:pPr>
              <w:rPr>
                <w:b/>
              </w:rPr>
            </w:pPr>
          </w:p>
          <w:p w:rsidR="00F928F3" w:rsidRDefault="00F928F3" w:rsidP="00F928F3">
            <w:pPr>
              <w:rPr>
                <w:b/>
              </w:rPr>
            </w:pPr>
          </w:p>
          <w:p w:rsidR="00D90DA1" w:rsidRPr="00F928F3" w:rsidRDefault="00D90DA1" w:rsidP="00F928F3">
            <w:pPr>
              <w:rPr>
                <w:b/>
              </w:rPr>
            </w:pPr>
            <w:r w:rsidRPr="00F928F3">
              <w:rPr>
                <w:b/>
              </w:rPr>
              <w:t>Partial</w:t>
            </w:r>
          </w:p>
          <w:p w:rsidR="00D90DA1" w:rsidRPr="00F928F3" w:rsidRDefault="00D90DA1" w:rsidP="00F928F3">
            <w:r w:rsidRPr="00F928F3">
              <w:t>See note 1 below</w:t>
            </w:r>
          </w:p>
          <w:p w:rsidR="00D90DA1" w:rsidRPr="00F928F3" w:rsidRDefault="00D90DA1" w:rsidP="00F928F3"/>
          <w:p w:rsidR="00D90DA1" w:rsidRPr="00F928F3" w:rsidRDefault="00D90DA1" w:rsidP="00F928F3"/>
          <w:p w:rsidR="00F928F3" w:rsidRDefault="00F928F3" w:rsidP="00F928F3">
            <w:pPr>
              <w:jc w:val="center"/>
              <w:rPr>
                <w:b/>
              </w:rPr>
            </w:pPr>
          </w:p>
          <w:p w:rsidR="00F928F3" w:rsidRDefault="00F928F3" w:rsidP="00F928F3">
            <w:pPr>
              <w:jc w:val="center"/>
              <w:rPr>
                <w:b/>
              </w:rPr>
            </w:pPr>
          </w:p>
          <w:p w:rsidR="00F928F3" w:rsidRPr="00E8139E" w:rsidRDefault="00F928F3" w:rsidP="00F928F3">
            <w:pPr>
              <w:jc w:val="center"/>
              <w:rPr>
                <w:sz w:val="40"/>
                <w:szCs w:val="40"/>
              </w:rPr>
            </w:pPr>
            <w:r w:rsidRPr="00E8139E">
              <w:rPr>
                <w:sz w:val="40"/>
                <w:szCs w:val="40"/>
              </w:rPr>
              <w:sym w:font="Wingdings" w:char="F0FC"/>
            </w:r>
          </w:p>
          <w:p w:rsidR="00D90DA1" w:rsidRPr="00F928F3" w:rsidRDefault="00D90DA1" w:rsidP="00F928F3">
            <w:pPr>
              <w:jc w:val="center"/>
              <w:rPr>
                <w:b/>
              </w:rPr>
            </w:pPr>
          </w:p>
          <w:p w:rsidR="00D90DA1" w:rsidRPr="00F928F3" w:rsidRDefault="00D90DA1" w:rsidP="00F928F3">
            <w:pPr>
              <w:jc w:val="center"/>
              <w:rPr>
                <w:b/>
              </w:rPr>
            </w:pPr>
          </w:p>
          <w:p w:rsidR="00F928F3" w:rsidRPr="00E8139E" w:rsidRDefault="00F928F3" w:rsidP="00F928F3">
            <w:pPr>
              <w:jc w:val="center"/>
              <w:rPr>
                <w:sz w:val="40"/>
                <w:szCs w:val="40"/>
              </w:rPr>
            </w:pPr>
            <w:r w:rsidRPr="00E8139E">
              <w:rPr>
                <w:sz w:val="40"/>
                <w:szCs w:val="40"/>
              </w:rPr>
              <w:sym w:font="Wingdings" w:char="F0FC"/>
            </w:r>
          </w:p>
          <w:p w:rsidR="0053604B" w:rsidRPr="00F928F3" w:rsidRDefault="0053604B" w:rsidP="00F928F3"/>
          <w:p w:rsidR="0053604B" w:rsidRPr="00F928F3" w:rsidRDefault="0053604B" w:rsidP="00F928F3"/>
          <w:p w:rsidR="0053604B" w:rsidRPr="00F928F3" w:rsidRDefault="0053604B" w:rsidP="00F928F3"/>
        </w:tc>
      </w:tr>
      <w:tr w:rsidR="00817DB0" w:rsidRPr="00E8139E" w:rsidTr="00F8562A">
        <w:tc>
          <w:tcPr>
            <w:tcW w:w="1985" w:type="dxa"/>
            <w:tcBorders>
              <w:top w:val="single" w:sz="4" w:space="0" w:color="auto"/>
            </w:tcBorders>
          </w:tcPr>
          <w:p w:rsidR="00C36282" w:rsidRPr="00F928F3" w:rsidRDefault="00AA045D" w:rsidP="00F928F3">
            <w:r w:rsidRPr="00F928F3">
              <w:br w:type="page"/>
            </w:r>
          </w:p>
          <w:p w:rsidR="00D90DA1" w:rsidRPr="00F928F3" w:rsidRDefault="00AA045D" w:rsidP="00F928F3">
            <w:pPr>
              <w:rPr>
                <w:b/>
              </w:rPr>
            </w:pPr>
            <w:r w:rsidRPr="00F928F3">
              <w:rPr>
                <w:b/>
              </w:rPr>
              <w:lastRenderedPageBreak/>
              <w:t>B</w:t>
            </w:r>
            <w:r w:rsidR="004E3B4B" w:rsidRPr="00F928F3">
              <w:rPr>
                <w:b/>
              </w:rPr>
              <w:t>.</w:t>
            </w:r>
          </w:p>
          <w:p w:rsidR="00817DB0" w:rsidRPr="00F928F3" w:rsidRDefault="00AA045D" w:rsidP="00F928F3">
            <w:r w:rsidRPr="00F928F3">
              <w:rPr>
                <w:b/>
              </w:rPr>
              <w:t>Representation</w:t>
            </w:r>
          </w:p>
        </w:tc>
        <w:tc>
          <w:tcPr>
            <w:tcW w:w="5812" w:type="dxa"/>
            <w:tcBorders>
              <w:top w:val="single" w:sz="4" w:space="0" w:color="auto"/>
            </w:tcBorders>
          </w:tcPr>
          <w:p w:rsidR="00817DB0" w:rsidRPr="00F928F3" w:rsidRDefault="00817DB0" w:rsidP="00F928F3">
            <w:pPr>
              <w:rPr>
                <w:i/>
              </w:rPr>
            </w:pPr>
          </w:p>
          <w:p w:rsidR="00E31FB3" w:rsidRPr="00F928F3" w:rsidRDefault="00F928F3" w:rsidP="00F928F3">
            <w:pPr>
              <w:rPr>
                <w:i/>
              </w:rPr>
            </w:pPr>
            <w:r>
              <w:rPr>
                <w:i/>
              </w:rPr>
              <w:lastRenderedPageBreak/>
              <w:t xml:space="preserve">(a) </w:t>
            </w:r>
            <w:r w:rsidR="00AA045D" w:rsidRPr="00F928F3">
              <w:rPr>
                <w:i/>
              </w:rPr>
              <w:t xml:space="preserve">that all key stakeholders are afforded the opportunity to be represented within the main or secondary committee structure. (1) </w:t>
            </w:r>
          </w:p>
          <w:p w:rsidR="00F41861" w:rsidRPr="00F928F3" w:rsidRDefault="00F41861" w:rsidP="00F928F3">
            <w:pPr>
              <w:rPr>
                <w:i/>
              </w:rPr>
            </w:pPr>
          </w:p>
          <w:p w:rsidR="00817DB0" w:rsidRPr="00F928F3" w:rsidRDefault="00AA045D" w:rsidP="00F928F3">
            <w:pPr>
              <w:rPr>
                <w:i/>
              </w:rPr>
            </w:pPr>
            <w:r w:rsidRPr="00F928F3">
              <w:rPr>
                <w:i/>
              </w:rPr>
              <w:t>These include:</w:t>
            </w:r>
          </w:p>
          <w:p w:rsidR="003207B3" w:rsidRPr="00F928F3" w:rsidRDefault="00AA045D" w:rsidP="00F928F3">
            <w:pPr>
              <w:rPr>
                <w:i/>
              </w:rPr>
            </w:pPr>
            <w:r w:rsidRPr="00F928F3">
              <w:rPr>
                <w:i/>
              </w:rPr>
              <w:t xml:space="preserve">employing authorities (including non-scheme  </w:t>
            </w:r>
          </w:p>
          <w:p w:rsidR="00817DB0" w:rsidRPr="00F928F3" w:rsidRDefault="00AA045D" w:rsidP="00F928F3">
            <w:pPr>
              <w:rPr>
                <w:i/>
              </w:rPr>
            </w:pPr>
            <w:r w:rsidRPr="00F928F3">
              <w:rPr>
                <w:i/>
              </w:rPr>
              <w:t>employers, e.g. admitted bodies)</w:t>
            </w:r>
          </w:p>
          <w:p w:rsidR="00817DB0" w:rsidRPr="00F928F3" w:rsidRDefault="00AA045D" w:rsidP="00F928F3">
            <w:pPr>
              <w:rPr>
                <w:i/>
              </w:rPr>
            </w:pPr>
            <w:r w:rsidRPr="00F928F3">
              <w:rPr>
                <w:i/>
              </w:rPr>
              <w:t>(ii) scheme members (including deferred and pensioner scheme members)</w:t>
            </w:r>
          </w:p>
          <w:p w:rsidR="00817DB0" w:rsidRPr="00F928F3" w:rsidRDefault="00AA045D" w:rsidP="00F928F3">
            <w:pPr>
              <w:rPr>
                <w:i/>
              </w:rPr>
            </w:pPr>
            <w:r w:rsidRPr="00F928F3">
              <w:rPr>
                <w:i/>
              </w:rPr>
              <w:t>(iii) independent professional observers (2)</w:t>
            </w:r>
          </w:p>
          <w:p w:rsidR="00817DB0" w:rsidRPr="00F928F3" w:rsidRDefault="00AA045D" w:rsidP="00F928F3">
            <w:pPr>
              <w:rPr>
                <w:i/>
              </w:rPr>
            </w:pPr>
            <w:r w:rsidRPr="00F928F3">
              <w:rPr>
                <w:i/>
              </w:rPr>
              <w:t>(iv) expert advisers (on an ad hoc basis)</w:t>
            </w:r>
          </w:p>
          <w:p w:rsidR="00817DB0" w:rsidRPr="00F928F3" w:rsidRDefault="00817DB0" w:rsidP="00F928F3">
            <w:pPr>
              <w:rPr>
                <w:i/>
              </w:rPr>
            </w:pPr>
          </w:p>
        </w:tc>
        <w:tc>
          <w:tcPr>
            <w:tcW w:w="2835" w:type="dxa"/>
            <w:tcBorders>
              <w:top w:val="single" w:sz="4" w:space="0" w:color="auto"/>
            </w:tcBorders>
          </w:tcPr>
          <w:p w:rsidR="00E31FB3" w:rsidRPr="00F928F3" w:rsidRDefault="00E31FB3" w:rsidP="00F928F3"/>
          <w:p w:rsidR="00F928F3" w:rsidRDefault="00F928F3" w:rsidP="00F928F3"/>
          <w:p w:rsidR="00F928F3" w:rsidRDefault="00F928F3" w:rsidP="00F928F3"/>
          <w:p w:rsidR="00E31FB3" w:rsidRPr="00F928F3" w:rsidRDefault="00D90DA1" w:rsidP="00F928F3">
            <w:pPr>
              <w:rPr>
                <w:b/>
              </w:rPr>
            </w:pPr>
            <w:r w:rsidRPr="00F928F3">
              <w:rPr>
                <w:b/>
              </w:rPr>
              <w:t>Partial</w:t>
            </w:r>
          </w:p>
          <w:p w:rsidR="00E31FB3" w:rsidRPr="00F928F3" w:rsidRDefault="00D90DA1" w:rsidP="00F928F3">
            <w:r w:rsidRPr="00F928F3">
              <w:t>(see notes</w:t>
            </w:r>
            <w:r w:rsidR="00957544" w:rsidRPr="00F928F3">
              <w:t xml:space="preserve"> 1&amp;</w:t>
            </w:r>
            <w:r w:rsidRPr="00F928F3">
              <w:t xml:space="preserve"> 2 below</w:t>
            </w:r>
            <w:r w:rsidR="00957544" w:rsidRPr="00F928F3">
              <w:t>)</w:t>
            </w:r>
          </w:p>
        </w:tc>
      </w:tr>
      <w:tr w:rsidR="00817DB0" w:rsidRPr="00E8139E" w:rsidTr="00F8562A">
        <w:tc>
          <w:tcPr>
            <w:tcW w:w="10632" w:type="dxa"/>
            <w:gridSpan w:val="3"/>
          </w:tcPr>
          <w:p w:rsidR="00817DB0" w:rsidRPr="00F928F3" w:rsidRDefault="00AA045D" w:rsidP="00F928F3">
            <w:pPr>
              <w:rPr>
                <w:b/>
              </w:rPr>
            </w:pPr>
            <w:r w:rsidRPr="00F928F3">
              <w:rPr>
                <w:b/>
              </w:rPr>
              <w:lastRenderedPageBreak/>
              <w:t>Reasons for Partial Compliance</w:t>
            </w:r>
          </w:p>
          <w:p w:rsidR="003C52C2" w:rsidRPr="00F928F3" w:rsidRDefault="003C52C2" w:rsidP="00F928F3"/>
          <w:p w:rsidR="00817DB0" w:rsidRPr="00F928F3" w:rsidRDefault="00AA045D" w:rsidP="00F928F3">
            <w:r w:rsidRPr="00F928F3">
              <w:t>Note 1: Although District Councils, Scheduled Bodies and employees are represented, Admitted bodies are not.  Admitted bodies only represent 7% of contributors to the fund and are therefore not represented. However, all employers receive a full annual report and are alerted to important events.  Although employee representatives, i.e. Trade Unions, do not formally represent deferred and pensioner scheme members, it is accepted that representation is available to deferred and pensioners members via this route where necessary and/or appropriate.</w:t>
            </w:r>
          </w:p>
          <w:p w:rsidR="00817DB0" w:rsidRPr="00F928F3" w:rsidRDefault="00817DB0" w:rsidP="00F928F3"/>
          <w:p w:rsidR="003C52C2" w:rsidRPr="00E8139E" w:rsidRDefault="00AA045D" w:rsidP="00F928F3">
            <w:r w:rsidRPr="00F928F3">
              <w:t xml:space="preserve">Note 2: Guidance envisaged that an independent professional observer could be invited to participate in governance arrangements to enhance the experience, continuity, knowledge, impartiality and performance of committees or panels which would improve the public perception that high standards of governance are a reality and not just an aspiration.  This role is currently performed by </w:t>
            </w:r>
            <w:r w:rsidR="007812A1" w:rsidRPr="00F928F3">
              <w:t xml:space="preserve">the Fund's independent advisers and </w:t>
            </w:r>
            <w:r w:rsidRPr="00F928F3">
              <w:t>officers and it is not apparent what added value such an appointment would bring.</w:t>
            </w:r>
            <w:r w:rsidR="00F41861" w:rsidRPr="00E8139E">
              <w:t xml:space="preserve">  </w:t>
            </w:r>
          </w:p>
        </w:tc>
      </w:tr>
      <w:tr w:rsidR="00FA67FD" w:rsidRPr="00E8139E" w:rsidTr="00F8562A">
        <w:tc>
          <w:tcPr>
            <w:tcW w:w="1985" w:type="dxa"/>
          </w:tcPr>
          <w:p w:rsidR="00FA67FD" w:rsidRPr="00F928F3" w:rsidRDefault="00FA67FD" w:rsidP="00F928F3"/>
          <w:p w:rsidR="00FA67FD" w:rsidRPr="00F928F3" w:rsidRDefault="00FA67FD" w:rsidP="00F928F3">
            <w:pPr>
              <w:rPr>
                <w:b/>
              </w:rPr>
            </w:pPr>
            <w:r w:rsidRPr="00F928F3">
              <w:rPr>
                <w:b/>
              </w:rPr>
              <w:t>C.</w:t>
            </w:r>
          </w:p>
          <w:p w:rsidR="00FA67FD" w:rsidRPr="00F928F3" w:rsidRDefault="00FA67FD" w:rsidP="00F928F3">
            <w:r w:rsidRPr="00F928F3">
              <w:rPr>
                <w:b/>
              </w:rPr>
              <w:t>Selection and Role of Lay Members</w:t>
            </w:r>
          </w:p>
        </w:tc>
        <w:tc>
          <w:tcPr>
            <w:tcW w:w="5812" w:type="dxa"/>
          </w:tcPr>
          <w:p w:rsidR="00FA67FD" w:rsidRPr="00F928F3" w:rsidRDefault="00FA67FD" w:rsidP="00F928F3"/>
          <w:p w:rsidR="00FA67FD" w:rsidRPr="00F928F3" w:rsidRDefault="00FA67FD" w:rsidP="00F928F3">
            <w:pPr>
              <w:rPr>
                <w:i/>
              </w:rPr>
            </w:pPr>
            <w:r w:rsidRPr="00F928F3">
              <w:rPr>
                <w:i/>
              </w:rPr>
              <w:t xml:space="preserve">(a) that committee or panel members are made fully aware of the status, role and function they are required to perform on either a main or secondary committee. </w:t>
            </w:r>
          </w:p>
          <w:p w:rsidR="00FA67FD" w:rsidRPr="00F928F3" w:rsidRDefault="00FA67FD" w:rsidP="00F928F3">
            <w:pPr>
              <w:rPr>
                <w:i/>
              </w:rPr>
            </w:pPr>
          </w:p>
          <w:p w:rsidR="00FA67FD" w:rsidRPr="00F928F3" w:rsidRDefault="00FA67FD" w:rsidP="00F928F3">
            <w:pPr>
              <w:rPr>
                <w:i/>
              </w:rPr>
            </w:pPr>
            <w:r w:rsidRPr="00F928F3">
              <w:rPr>
                <w:i/>
              </w:rPr>
              <w:t>(It is the role of the administering authority to make places available for lay members and for the groups to nominate the representatives.  The lay members are not there to represent their own local, political or private interest but owe a duty of care to their beneficiaries and are required to act in their best interests at all time.)</w:t>
            </w:r>
          </w:p>
          <w:p w:rsidR="00FA67FD" w:rsidRPr="00F928F3" w:rsidRDefault="00FA67FD" w:rsidP="00F928F3"/>
        </w:tc>
        <w:tc>
          <w:tcPr>
            <w:tcW w:w="2835" w:type="dxa"/>
          </w:tcPr>
          <w:p w:rsidR="00FA67FD" w:rsidRPr="00F928F3" w:rsidRDefault="00FA67FD" w:rsidP="00F928F3"/>
          <w:p w:rsidR="00F928F3" w:rsidRDefault="00F928F3" w:rsidP="00F928F3">
            <w:pPr>
              <w:jc w:val="center"/>
              <w:rPr>
                <w:sz w:val="40"/>
                <w:szCs w:val="40"/>
              </w:rPr>
            </w:pPr>
          </w:p>
          <w:p w:rsidR="00F928F3" w:rsidRPr="00E8139E" w:rsidRDefault="00F928F3" w:rsidP="00F928F3">
            <w:pPr>
              <w:jc w:val="center"/>
              <w:rPr>
                <w:sz w:val="40"/>
                <w:szCs w:val="40"/>
              </w:rPr>
            </w:pPr>
            <w:r w:rsidRPr="00E8139E">
              <w:rPr>
                <w:sz w:val="40"/>
                <w:szCs w:val="40"/>
              </w:rPr>
              <w:sym w:font="Wingdings" w:char="F0FC"/>
            </w:r>
          </w:p>
          <w:p w:rsidR="00FA67FD" w:rsidRPr="00F928F3" w:rsidRDefault="00FA67FD" w:rsidP="00F928F3">
            <w:pPr>
              <w:jc w:val="center"/>
            </w:pPr>
          </w:p>
        </w:tc>
      </w:tr>
      <w:tr w:rsidR="00FA67FD" w:rsidRPr="00F928F3" w:rsidTr="00F8562A">
        <w:tc>
          <w:tcPr>
            <w:tcW w:w="1985" w:type="dxa"/>
          </w:tcPr>
          <w:p w:rsidR="00FA67FD" w:rsidRPr="00F928F3" w:rsidRDefault="00FA67FD" w:rsidP="00F928F3"/>
          <w:p w:rsidR="00FA67FD" w:rsidRPr="00F928F3" w:rsidRDefault="00FA67FD" w:rsidP="00F928F3">
            <w:pPr>
              <w:rPr>
                <w:b/>
              </w:rPr>
            </w:pPr>
            <w:r w:rsidRPr="00F928F3">
              <w:rPr>
                <w:b/>
              </w:rPr>
              <w:t>D.</w:t>
            </w:r>
          </w:p>
          <w:p w:rsidR="00FA67FD" w:rsidRPr="00F928F3" w:rsidRDefault="00FA67FD" w:rsidP="00F928F3">
            <w:r w:rsidRPr="00F928F3">
              <w:rPr>
                <w:b/>
              </w:rPr>
              <w:t>Voting</w:t>
            </w:r>
          </w:p>
        </w:tc>
        <w:tc>
          <w:tcPr>
            <w:tcW w:w="5812" w:type="dxa"/>
          </w:tcPr>
          <w:p w:rsidR="00FA67FD" w:rsidRPr="00F928F3" w:rsidRDefault="00FA67FD" w:rsidP="00F928F3"/>
          <w:p w:rsidR="00FA67FD" w:rsidRPr="00F928F3" w:rsidRDefault="00FA67FD" w:rsidP="00F928F3">
            <w:pPr>
              <w:rPr>
                <w:i/>
              </w:rPr>
            </w:pPr>
            <w:r w:rsidRPr="00F928F3">
              <w:rPr>
                <w:i/>
              </w:rPr>
              <w:t>(a) the policy of individual administering authorities on voting rights is clear and transparent, including the justification for not extending voting rights to each body or group represented on main LGPS committees.</w:t>
            </w:r>
          </w:p>
        </w:tc>
        <w:tc>
          <w:tcPr>
            <w:tcW w:w="2835" w:type="dxa"/>
          </w:tcPr>
          <w:p w:rsidR="00FA67FD" w:rsidRPr="00F928F3" w:rsidRDefault="00FA67FD" w:rsidP="00F928F3"/>
          <w:p w:rsidR="00F928F3" w:rsidRDefault="00F928F3" w:rsidP="00F928F3">
            <w:pPr>
              <w:jc w:val="center"/>
              <w:rPr>
                <w:sz w:val="40"/>
                <w:szCs w:val="40"/>
              </w:rPr>
            </w:pPr>
          </w:p>
          <w:p w:rsidR="00F928F3" w:rsidRPr="00E8139E" w:rsidRDefault="00F928F3" w:rsidP="00F928F3">
            <w:pPr>
              <w:jc w:val="center"/>
              <w:rPr>
                <w:sz w:val="40"/>
                <w:szCs w:val="40"/>
              </w:rPr>
            </w:pPr>
            <w:r w:rsidRPr="00E8139E">
              <w:rPr>
                <w:sz w:val="40"/>
                <w:szCs w:val="40"/>
              </w:rPr>
              <w:sym w:font="Wingdings" w:char="F0FC"/>
            </w:r>
          </w:p>
          <w:p w:rsidR="00FA67FD" w:rsidRPr="00F928F3" w:rsidRDefault="00FA67FD" w:rsidP="00F928F3"/>
          <w:p w:rsidR="00FA67FD" w:rsidRPr="00F928F3" w:rsidRDefault="00FA67FD" w:rsidP="00F928F3"/>
          <w:p w:rsidR="00675DC0" w:rsidRPr="00F928F3" w:rsidRDefault="00675DC0" w:rsidP="00F928F3"/>
          <w:p w:rsidR="00675DC0" w:rsidRPr="00F928F3" w:rsidRDefault="00675DC0" w:rsidP="00F928F3"/>
          <w:p w:rsidR="00675DC0" w:rsidRPr="00F928F3" w:rsidRDefault="00675DC0" w:rsidP="00F928F3"/>
          <w:p w:rsidR="0053604B" w:rsidRPr="00F928F3" w:rsidRDefault="0053604B" w:rsidP="00F928F3"/>
        </w:tc>
      </w:tr>
      <w:tr w:rsidR="00D90DA1" w:rsidRPr="00E8139E" w:rsidTr="00F8562A">
        <w:tc>
          <w:tcPr>
            <w:tcW w:w="1985" w:type="dxa"/>
          </w:tcPr>
          <w:p w:rsidR="00D90DA1" w:rsidRPr="00E8139E" w:rsidRDefault="0017515A" w:rsidP="0009677B">
            <w:pPr>
              <w:rPr>
                <w:rFonts w:cs="Arial"/>
                <w:b/>
              </w:rPr>
            </w:pPr>
            <w:r w:rsidRPr="00E8139E">
              <w:lastRenderedPageBreak/>
              <w:br w:type="page"/>
            </w:r>
          </w:p>
          <w:p w:rsidR="00D90DA1" w:rsidRPr="00E8139E" w:rsidRDefault="00AA045D" w:rsidP="0009677B">
            <w:pPr>
              <w:rPr>
                <w:rFonts w:cs="Arial"/>
                <w:b/>
              </w:rPr>
            </w:pPr>
            <w:r w:rsidRPr="00E8139E">
              <w:rPr>
                <w:rFonts w:cs="Arial"/>
                <w:b/>
              </w:rPr>
              <w:t>E</w:t>
            </w:r>
            <w:r w:rsidR="004E3B4B" w:rsidRPr="00E8139E">
              <w:rPr>
                <w:rFonts w:cs="Arial"/>
                <w:b/>
              </w:rPr>
              <w:t>.</w:t>
            </w:r>
            <w:r w:rsidRPr="00E8139E">
              <w:rPr>
                <w:rFonts w:cs="Arial"/>
                <w:b/>
              </w:rPr>
              <w:t xml:space="preserve"> </w:t>
            </w:r>
          </w:p>
          <w:p w:rsidR="00D90DA1" w:rsidRPr="00E8139E" w:rsidRDefault="00AA045D" w:rsidP="0009677B">
            <w:pPr>
              <w:rPr>
                <w:rFonts w:cs="Arial"/>
                <w:b/>
              </w:rPr>
            </w:pPr>
            <w:r w:rsidRPr="00E8139E">
              <w:rPr>
                <w:rFonts w:cs="Arial"/>
                <w:b/>
              </w:rPr>
              <w:t>Training/ Facility Time/ Expenses</w:t>
            </w:r>
          </w:p>
        </w:tc>
        <w:tc>
          <w:tcPr>
            <w:tcW w:w="5812" w:type="dxa"/>
          </w:tcPr>
          <w:p w:rsidR="00D90DA1" w:rsidRPr="00E8139E" w:rsidRDefault="00D90DA1" w:rsidP="0009677B">
            <w:pPr>
              <w:rPr>
                <w:rFonts w:cs="Arial"/>
                <w:i/>
                <w:sz w:val="16"/>
                <w:szCs w:val="16"/>
              </w:rPr>
            </w:pPr>
          </w:p>
          <w:p w:rsidR="00D90DA1" w:rsidRPr="00E8139E" w:rsidRDefault="00AA045D" w:rsidP="0009677B">
            <w:pPr>
              <w:rPr>
                <w:rFonts w:cs="Arial"/>
                <w:i/>
                <w:szCs w:val="24"/>
              </w:rPr>
            </w:pPr>
            <w:r w:rsidRPr="00E8139E">
              <w:rPr>
                <w:rFonts w:cs="Arial"/>
                <w:i/>
                <w:szCs w:val="24"/>
              </w:rPr>
              <w:t>(a) that in relation to the way in which statutory and related decisions are taken by the administering authority, there is a clear policy on training, facility time and reimbursement of expenses in respect of members involved in the decision-making process.</w:t>
            </w:r>
          </w:p>
          <w:p w:rsidR="00D90DA1" w:rsidRPr="00E8139E" w:rsidRDefault="00D90DA1" w:rsidP="0009677B">
            <w:pPr>
              <w:rPr>
                <w:rFonts w:cs="Arial"/>
                <w:i/>
                <w:szCs w:val="24"/>
              </w:rPr>
            </w:pPr>
          </w:p>
          <w:p w:rsidR="00D90DA1" w:rsidRPr="00E8139E" w:rsidRDefault="00AA045D" w:rsidP="0009677B">
            <w:pPr>
              <w:rPr>
                <w:rFonts w:cs="Arial"/>
                <w:i/>
                <w:szCs w:val="24"/>
              </w:rPr>
            </w:pPr>
            <w:r w:rsidRPr="00E8139E">
              <w:rPr>
                <w:rFonts w:cs="Arial"/>
                <w:i/>
                <w:szCs w:val="24"/>
              </w:rPr>
              <w:t xml:space="preserve">(b) that where such a policy exists, it applies equally to all members of committees, sub-committees, advisory panels or any other form of secondary forum. </w:t>
            </w:r>
          </w:p>
          <w:p w:rsidR="00D90DA1" w:rsidRPr="00E8139E" w:rsidRDefault="00D90DA1" w:rsidP="0009677B">
            <w:pPr>
              <w:rPr>
                <w:rFonts w:cs="Arial"/>
                <w:i/>
                <w:sz w:val="16"/>
                <w:szCs w:val="16"/>
              </w:rPr>
            </w:pPr>
          </w:p>
        </w:tc>
        <w:tc>
          <w:tcPr>
            <w:tcW w:w="2835" w:type="dxa"/>
          </w:tcPr>
          <w:p w:rsidR="00D90DA1" w:rsidRPr="00E8139E" w:rsidRDefault="00D90DA1" w:rsidP="00D90DA1">
            <w:pPr>
              <w:rPr>
                <w:rFonts w:cs="Arial"/>
                <w:szCs w:val="24"/>
              </w:rPr>
            </w:pPr>
          </w:p>
          <w:p w:rsidR="00D90DA1" w:rsidRPr="00E8139E" w:rsidRDefault="00D90DA1" w:rsidP="00D90DA1">
            <w:pPr>
              <w:jc w:val="center"/>
              <w:rPr>
                <w:sz w:val="40"/>
                <w:szCs w:val="40"/>
              </w:rPr>
            </w:pPr>
            <w:r w:rsidRPr="00E8139E">
              <w:rPr>
                <w:sz w:val="40"/>
                <w:szCs w:val="40"/>
              </w:rPr>
              <w:sym w:font="Wingdings" w:char="F0FC"/>
            </w:r>
          </w:p>
          <w:p w:rsidR="00D90DA1" w:rsidRPr="00E8139E" w:rsidRDefault="00D90DA1" w:rsidP="00D90DA1">
            <w:pPr>
              <w:jc w:val="center"/>
              <w:rPr>
                <w:rFonts w:cs="Arial"/>
                <w:sz w:val="40"/>
                <w:szCs w:val="40"/>
              </w:rPr>
            </w:pPr>
          </w:p>
          <w:p w:rsidR="00D90DA1" w:rsidRPr="00E8139E" w:rsidRDefault="00D90DA1" w:rsidP="00D90DA1">
            <w:pPr>
              <w:jc w:val="center"/>
              <w:rPr>
                <w:rFonts w:cs="Arial"/>
                <w:sz w:val="40"/>
                <w:szCs w:val="40"/>
              </w:rPr>
            </w:pPr>
          </w:p>
          <w:p w:rsidR="00D90DA1" w:rsidRPr="00E8139E" w:rsidRDefault="00D90DA1" w:rsidP="00D90DA1">
            <w:pPr>
              <w:jc w:val="center"/>
              <w:rPr>
                <w:rFonts w:cs="Arial"/>
                <w:sz w:val="40"/>
                <w:szCs w:val="40"/>
              </w:rPr>
            </w:pPr>
          </w:p>
          <w:p w:rsidR="00E31FB3" w:rsidRPr="00E8139E" w:rsidRDefault="00D90DA1">
            <w:pPr>
              <w:jc w:val="center"/>
              <w:rPr>
                <w:rFonts w:cs="Arial"/>
                <w:szCs w:val="24"/>
              </w:rPr>
            </w:pPr>
            <w:r w:rsidRPr="00E8139E">
              <w:rPr>
                <w:sz w:val="40"/>
                <w:szCs w:val="40"/>
              </w:rPr>
              <w:sym w:font="Wingdings" w:char="F0FC"/>
            </w:r>
          </w:p>
        </w:tc>
      </w:tr>
      <w:tr w:rsidR="00D90DA1" w:rsidRPr="00E8139E" w:rsidTr="00F8562A">
        <w:trPr>
          <w:trHeight w:val="4508"/>
        </w:trPr>
        <w:tc>
          <w:tcPr>
            <w:tcW w:w="1985" w:type="dxa"/>
          </w:tcPr>
          <w:p w:rsidR="00D90DA1" w:rsidRPr="00E8139E" w:rsidRDefault="00D90DA1" w:rsidP="0009677B">
            <w:pPr>
              <w:rPr>
                <w:rFonts w:cs="Arial"/>
                <w:b/>
              </w:rPr>
            </w:pPr>
          </w:p>
          <w:p w:rsidR="00D90DA1" w:rsidRPr="00E8139E" w:rsidRDefault="00AA045D" w:rsidP="0009677B">
            <w:pPr>
              <w:rPr>
                <w:rFonts w:cs="Arial"/>
                <w:b/>
              </w:rPr>
            </w:pPr>
            <w:r w:rsidRPr="00E8139E">
              <w:rPr>
                <w:rFonts w:cs="Arial"/>
                <w:b/>
              </w:rPr>
              <w:t>F</w:t>
            </w:r>
            <w:r w:rsidR="004E3B4B" w:rsidRPr="00E8139E">
              <w:rPr>
                <w:rFonts w:cs="Arial"/>
                <w:b/>
              </w:rPr>
              <w:t>.</w:t>
            </w:r>
          </w:p>
          <w:p w:rsidR="00D90DA1" w:rsidRPr="00E8139E" w:rsidRDefault="00AA045D" w:rsidP="0009677B">
            <w:pPr>
              <w:rPr>
                <w:rFonts w:cs="Arial"/>
                <w:b/>
              </w:rPr>
            </w:pPr>
            <w:r w:rsidRPr="00E8139E">
              <w:rPr>
                <w:rFonts w:cs="Arial"/>
                <w:b/>
              </w:rPr>
              <w:t>Meetings – Frequency</w:t>
            </w:r>
          </w:p>
        </w:tc>
        <w:tc>
          <w:tcPr>
            <w:tcW w:w="5812" w:type="dxa"/>
          </w:tcPr>
          <w:p w:rsidR="00D90DA1" w:rsidRPr="00E8139E" w:rsidRDefault="00D90DA1" w:rsidP="0009677B">
            <w:pPr>
              <w:rPr>
                <w:rFonts w:cs="Arial"/>
                <w:i/>
                <w:sz w:val="16"/>
                <w:szCs w:val="16"/>
              </w:rPr>
            </w:pPr>
          </w:p>
          <w:p w:rsidR="00D90DA1" w:rsidRPr="00E8139E" w:rsidRDefault="00AA045D" w:rsidP="0009677B">
            <w:pPr>
              <w:rPr>
                <w:rFonts w:cs="Arial"/>
                <w:i/>
                <w:szCs w:val="24"/>
              </w:rPr>
            </w:pPr>
            <w:r w:rsidRPr="00E8139E">
              <w:rPr>
                <w:rFonts w:cs="Arial"/>
                <w:i/>
                <w:szCs w:val="24"/>
              </w:rPr>
              <w:t>(a) that an administering authority’s main committee or committees meet at least quarterly.</w:t>
            </w:r>
          </w:p>
          <w:p w:rsidR="00D90DA1" w:rsidRPr="00E8139E" w:rsidRDefault="00D90DA1" w:rsidP="0009677B">
            <w:pPr>
              <w:rPr>
                <w:rFonts w:cs="Arial"/>
                <w:i/>
                <w:szCs w:val="24"/>
              </w:rPr>
            </w:pPr>
          </w:p>
          <w:p w:rsidR="00D90DA1" w:rsidRPr="00E8139E" w:rsidRDefault="00AA045D" w:rsidP="0009677B">
            <w:pPr>
              <w:rPr>
                <w:rFonts w:cs="Arial"/>
                <w:i/>
                <w:szCs w:val="24"/>
              </w:rPr>
            </w:pPr>
            <w:r w:rsidRPr="00E8139E">
              <w:rPr>
                <w:rFonts w:cs="Arial"/>
                <w:i/>
                <w:szCs w:val="24"/>
              </w:rPr>
              <w:t>(b) that an administering authority’s secondary committee or panel meet at least twice a year and is synchronised with the dates when the main committee sits.</w:t>
            </w:r>
          </w:p>
          <w:p w:rsidR="00D90DA1" w:rsidRPr="00E8139E" w:rsidRDefault="00D90DA1" w:rsidP="0009677B">
            <w:pPr>
              <w:rPr>
                <w:rFonts w:cs="Arial"/>
                <w:i/>
                <w:szCs w:val="24"/>
              </w:rPr>
            </w:pPr>
          </w:p>
          <w:p w:rsidR="00D90DA1" w:rsidRPr="00E8139E" w:rsidRDefault="00AA045D" w:rsidP="00FA67FD">
            <w:pPr>
              <w:rPr>
                <w:rFonts w:cs="Arial"/>
                <w:i/>
                <w:sz w:val="16"/>
                <w:szCs w:val="16"/>
              </w:rPr>
            </w:pPr>
            <w:r w:rsidRPr="00E8139E">
              <w:rPr>
                <w:rFonts w:cs="Arial"/>
                <w:i/>
                <w:szCs w:val="24"/>
              </w:rPr>
              <w:t>(c) that administering authorities who do not include lay members in their formal governance arrangements, provide a forum outside of those arrangements by which the interests of key stakeholders can be represented.</w:t>
            </w:r>
          </w:p>
        </w:tc>
        <w:tc>
          <w:tcPr>
            <w:tcW w:w="2835" w:type="dxa"/>
          </w:tcPr>
          <w:p w:rsidR="00D90DA1" w:rsidRPr="00E8139E" w:rsidRDefault="00D90DA1" w:rsidP="003207B3">
            <w:pPr>
              <w:rPr>
                <w:rFonts w:cs="Arial"/>
                <w:szCs w:val="24"/>
              </w:rPr>
            </w:pPr>
          </w:p>
          <w:p w:rsidR="00D90DA1" w:rsidRPr="00E8139E" w:rsidRDefault="00D90DA1" w:rsidP="00D90DA1">
            <w:pPr>
              <w:jc w:val="center"/>
              <w:rPr>
                <w:sz w:val="40"/>
                <w:szCs w:val="40"/>
              </w:rPr>
            </w:pPr>
            <w:r w:rsidRPr="00E8139E">
              <w:rPr>
                <w:sz w:val="40"/>
                <w:szCs w:val="40"/>
              </w:rPr>
              <w:sym w:font="Wingdings" w:char="F0FC"/>
            </w:r>
          </w:p>
          <w:p w:rsidR="00D90DA1" w:rsidRPr="00E8139E" w:rsidRDefault="00D90DA1" w:rsidP="00D90DA1">
            <w:pPr>
              <w:jc w:val="center"/>
              <w:rPr>
                <w:rFonts w:cs="Arial"/>
                <w:sz w:val="40"/>
                <w:szCs w:val="40"/>
              </w:rPr>
            </w:pPr>
          </w:p>
          <w:p w:rsidR="00D90DA1" w:rsidRPr="00E8139E" w:rsidRDefault="00D90DA1" w:rsidP="00D90DA1">
            <w:pPr>
              <w:jc w:val="center"/>
              <w:rPr>
                <w:sz w:val="40"/>
                <w:szCs w:val="40"/>
              </w:rPr>
            </w:pPr>
            <w:r w:rsidRPr="00E8139E">
              <w:rPr>
                <w:sz w:val="40"/>
                <w:szCs w:val="40"/>
              </w:rPr>
              <w:sym w:font="Wingdings" w:char="F0FC"/>
            </w:r>
          </w:p>
          <w:p w:rsidR="00D90DA1" w:rsidRPr="00E8139E" w:rsidRDefault="00D90DA1" w:rsidP="00D90DA1">
            <w:pPr>
              <w:jc w:val="center"/>
              <w:rPr>
                <w:rFonts w:cs="Arial"/>
                <w:sz w:val="40"/>
                <w:szCs w:val="40"/>
              </w:rPr>
            </w:pPr>
          </w:p>
          <w:p w:rsidR="00D90DA1" w:rsidRPr="00E8139E" w:rsidRDefault="00D90DA1" w:rsidP="00D90DA1">
            <w:pPr>
              <w:jc w:val="center"/>
              <w:rPr>
                <w:rFonts w:cs="Arial"/>
                <w:sz w:val="40"/>
                <w:szCs w:val="40"/>
              </w:rPr>
            </w:pPr>
          </w:p>
          <w:p w:rsidR="00D90DA1" w:rsidRPr="00E8139E" w:rsidRDefault="00D90DA1" w:rsidP="00D90DA1">
            <w:pPr>
              <w:jc w:val="center"/>
              <w:rPr>
                <w:sz w:val="40"/>
                <w:szCs w:val="40"/>
              </w:rPr>
            </w:pPr>
            <w:r w:rsidRPr="00E8139E">
              <w:rPr>
                <w:sz w:val="40"/>
                <w:szCs w:val="40"/>
              </w:rPr>
              <w:sym w:font="Wingdings" w:char="F0FC"/>
            </w:r>
          </w:p>
          <w:p w:rsidR="00D90DA1" w:rsidRPr="00E8139E" w:rsidRDefault="00D90DA1" w:rsidP="003207B3">
            <w:pPr>
              <w:rPr>
                <w:rFonts w:cs="Arial"/>
                <w:szCs w:val="24"/>
              </w:rPr>
            </w:pPr>
          </w:p>
        </w:tc>
      </w:tr>
      <w:tr w:rsidR="00FA67FD" w:rsidRPr="00E8139E" w:rsidTr="00F8562A">
        <w:tc>
          <w:tcPr>
            <w:tcW w:w="1985" w:type="dxa"/>
          </w:tcPr>
          <w:p w:rsidR="00FA67FD" w:rsidRPr="00E8139E" w:rsidRDefault="00FA67FD" w:rsidP="0095309D">
            <w:pPr>
              <w:rPr>
                <w:rFonts w:cs="Arial"/>
                <w:b/>
              </w:rPr>
            </w:pPr>
          </w:p>
          <w:p w:rsidR="00FA67FD" w:rsidRPr="00E8139E" w:rsidRDefault="00FA67FD" w:rsidP="0095309D">
            <w:pPr>
              <w:rPr>
                <w:rFonts w:cs="Arial"/>
                <w:b/>
              </w:rPr>
            </w:pPr>
            <w:r w:rsidRPr="00E8139E">
              <w:rPr>
                <w:rFonts w:cs="Arial"/>
                <w:b/>
              </w:rPr>
              <w:t>G.</w:t>
            </w:r>
          </w:p>
          <w:p w:rsidR="00FA67FD" w:rsidRPr="00E8139E" w:rsidRDefault="00FA67FD" w:rsidP="0095309D">
            <w:pPr>
              <w:rPr>
                <w:rFonts w:cs="Arial"/>
                <w:b/>
              </w:rPr>
            </w:pPr>
            <w:r w:rsidRPr="00E8139E">
              <w:rPr>
                <w:rFonts w:cs="Arial"/>
                <w:b/>
              </w:rPr>
              <w:t>Access</w:t>
            </w:r>
          </w:p>
        </w:tc>
        <w:tc>
          <w:tcPr>
            <w:tcW w:w="5812" w:type="dxa"/>
          </w:tcPr>
          <w:p w:rsidR="00FA67FD" w:rsidRPr="00E8139E" w:rsidRDefault="00FA67FD" w:rsidP="0095309D">
            <w:pPr>
              <w:rPr>
                <w:rFonts w:cs="Arial"/>
                <w:i/>
                <w:szCs w:val="24"/>
              </w:rPr>
            </w:pPr>
          </w:p>
          <w:p w:rsidR="00FA67FD" w:rsidRPr="00E8139E" w:rsidRDefault="00FA67FD" w:rsidP="0095309D">
            <w:pPr>
              <w:rPr>
                <w:rFonts w:cs="Arial"/>
                <w:i/>
                <w:szCs w:val="24"/>
              </w:rPr>
            </w:pPr>
            <w:r w:rsidRPr="00E8139E">
              <w:rPr>
                <w:rFonts w:cs="Arial"/>
                <w:i/>
                <w:szCs w:val="24"/>
              </w:rPr>
              <w:t>(a) that subject to any rules in the council’s constitution, all members of main and secondary committees or panels have equal access to committee papers, documents and advice that falls to be considered at meetings of the main committee.</w:t>
            </w:r>
          </w:p>
          <w:p w:rsidR="00FA67FD" w:rsidRPr="00E8139E" w:rsidRDefault="00FA67FD" w:rsidP="0095309D">
            <w:pPr>
              <w:rPr>
                <w:rFonts w:cs="Arial"/>
                <w:i/>
                <w:szCs w:val="24"/>
              </w:rPr>
            </w:pPr>
          </w:p>
        </w:tc>
        <w:tc>
          <w:tcPr>
            <w:tcW w:w="2835" w:type="dxa"/>
          </w:tcPr>
          <w:p w:rsidR="00FA67FD" w:rsidRPr="00E8139E" w:rsidRDefault="00FA67FD" w:rsidP="0095309D">
            <w:pPr>
              <w:rPr>
                <w:rFonts w:cs="Arial"/>
                <w:szCs w:val="24"/>
              </w:rPr>
            </w:pPr>
          </w:p>
          <w:p w:rsidR="00FA67FD" w:rsidRPr="00E8139E" w:rsidRDefault="00FA67FD" w:rsidP="0095309D">
            <w:pPr>
              <w:jc w:val="center"/>
              <w:rPr>
                <w:sz w:val="40"/>
                <w:szCs w:val="40"/>
              </w:rPr>
            </w:pPr>
            <w:r w:rsidRPr="00E8139E">
              <w:rPr>
                <w:sz w:val="40"/>
                <w:szCs w:val="40"/>
              </w:rPr>
              <w:sym w:font="Wingdings" w:char="F0FC"/>
            </w:r>
          </w:p>
          <w:p w:rsidR="00FA67FD" w:rsidRPr="00E8139E" w:rsidRDefault="00FA67FD" w:rsidP="0095309D">
            <w:pPr>
              <w:rPr>
                <w:rFonts w:cs="Arial"/>
                <w:szCs w:val="24"/>
              </w:rPr>
            </w:pPr>
          </w:p>
        </w:tc>
      </w:tr>
      <w:tr w:rsidR="00FA67FD" w:rsidRPr="00E8139E" w:rsidTr="00F8562A">
        <w:tc>
          <w:tcPr>
            <w:tcW w:w="1985" w:type="dxa"/>
          </w:tcPr>
          <w:p w:rsidR="00FA67FD" w:rsidRPr="00E8139E" w:rsidRDefault="00FA67FD" w:rsidP="0095309D">
            <w:pPr>
              <w:rPr>
                <w:rFonts w:cs="Arial"/>
                <w:b/>
              </w:rPr>
            </w:pPr>
          </w:p>
          <w:p w:rsidR="00FA67FD" w:rsidRPr="00E8139E" w:rsidRDefault="00FA67FD" w:rsidP="0095309D">
            <w:pPr>
              <w:rPr>
                <w:rFonts w:cs="Arial"/>
                <w:b/>
              </w:rPr>
            </w:pPr>
            <w:r w:rsidRPr="00E8139E">
              <w:rPr>
                <w:rFonts w:cs="Arial"/>
                <w:b/>
              </w:rPr>
              <w:t>H.</w:t>
            </w:r>
          </w:p>
          <w:p w:rsidR="00FA67FD" w:rsidRPr="00E8139E" w:rsidRDefault="00FA67FD" w:rsidP="0095309D">
            <w:pPr>
              <w:rPr>
                <w:rFonts w:cs="Arial"/>
                <w:b/>
              </w:rPr>
            </w:pPr>
            <w:r w:rsidRPr="00E8139E">
              <w:rPr>
                <w:rFonts w:cs="Arial"/>
                <w:b/>
              </w:rPr>
              <w:t>Scope</w:t>
            </w:r>
          </w:p>
        </w:tc>
        <w:tc>
          <w:tcPr>
            <w:tcW w:w="5812" w:type="dxa"/>
          </w:tcPr>
          <w:p w:rsidR="00FA67FD" w:rsidRPr="00E8139E" w:rsidRDefault="00FA67FD" w:rsidP="0095309D">
            <w:pPr>
              <w:rPr>
                <w:rFonts w:cs="Arial"/>
                <w:i/>
                <w:szCs w:val="24"/>
              </w:rPr>
            </w:pPr>
          </w:p>
          <w:p w:rsidR="00FA67FD" w:rsidRPr="00E8139E" w:rsidRDefault="00FA67FD" w:rsidP="0095309D">
            <w:pPr>
              <w:rPr>
                <w:rFonts w:cs="Arial"/>
                <w:i/>
                <w:szCs w:val="24"/>
              </w:rPr>
            </w:pPr>
            <w:r w:rsidRPr="00E8139E">
              <w:rPr>
                <w:rFonts w:cs="Arial"/>
                <w:i/>
                <w:szCs w:val="24"/>
              </w:rPr>
              <w:t>(a) that administering authorities have taken steps to bring wider scheme issues within the scope of their governance arrangements.</w:t>
            </w:r>
          </w:p>
          <w:p w:rsidR="00FA67FD" w:rsidRPr="00E8139E" w:rsidRDefault="00FA67FD" w:rsidP="0095309D">
            <w:pPr>
              <w:rPr>
                <w:rFonts w:cs="Arial"/>
                <w:szCs w:val="24"/>
              </w:rPr>
            </w:pPr>
          </w:p>
        </w:tc>
        <w:tc>
          <w:tcPr>
            <w:tcW w:w="2835" w:type="dxa"/>
          </w:tcPr>
          <w:p w:rsidR="00FA67FD" w:rsidRPr="00E8139E" w:rsidRDefault="00FA67FD" w:rsidP="0095309D">
            <w:pPr>
              <w:rPr>
                <w:rFonts w:cs="Arial"/>
                <w:szCs w:val="24"/>
              </w:rPr>
            </w:pPr>
          </w:p>
          <w:p w:rsidR="00FA67FD" w:rsidRPr="00E8139E" w:rsidRDefault="00FA67FD" w:rsidP="0095309D">
            <w:pPr>
              <w:jc w:val="center"/>
              <w:rPr>
                <w:sz w:val="40"/>
                <w:szCs w:val="40"/>
              </w:rPr>
            </w:pPr>
            <w:r w:rsidRPr="00E8139E">
              <w:rPr>
                <w:sz w:val="40"/>
                <w:szCs w:val="40"/>
              </w:rPr>
              <w:sym w:font="Wingdings" w:char="F0FC"/>
            </w:r>
          </w:p>
          <w:p w:rsidR="00FA67FD" w:rsidRPr="00E8139E" w:rsidRDefault="00FA67FD" w:rsidP="0095309D">
            <w:pPr>
              <w:rPr>
                <w:rFonts w:cs="Arial"/>
                <w:szCs w:val="24"/>
              </w:rPr>
            </w:pPr>
          </w:p>
          <w:p w:rsidR="00FA67FD" w:rsidRPr="00E8139E" w:rsidRDefault="00FA67FD" w:rsidP="0095309D">
            <w:pPr>
              <w:rPr>
                <w:rFonts w:cs="Arial"/>
                <w:szCs w:val="24"/>
              </w:rPr>
            </w:pPr>
          </w:p>
        </w:tc>
      </w:tr>
      <w:tr w:rsidR="00FA67FD" w:rsidRPr="00351FD6" w:rsidTr="00F8562A">
        <w:trPr>
          <w:trHeight w:val="2265"/>
        </w:trPr>
        <w:tc>
          <w:tcPr>
            <w:tcW w:w="1985" w:type="dxa"/>
          </w:tcPr>
          <w:p w:rsidR="00FA67FD" w:rsidRPr="00E8139E" w:rsidRDefault="00FA67FD" w:rsidP="00FA67FD">
            <w:pPr>
              <w:rPr>
                <w:rFonts w:cs="Arial"/>
                <w:b/>
              </w:rPr>
            </w:pPr>
          </w:p>
          <w:p w:rsidR="00FA67FD" w:rsidRPr="00E8139E" w:rsidRDefault="00FA67FD" w:rsidP="00FA67FD">
            <w:pPr>
              <w:rPr>
                <w:rFonts w:cs="Arial"/>
                <w:b/>
              </w:rPr>
            </w:pPr>
            <w:r w:rsidRPr="00E8139E">
              <w:rPr>
                <w:rFonts w:cs="Arial"/>
                <w:b/>
              </w:rPr>
              <w:t>I.</w:t>
            </w:r>
          </w:p>
          <w:p w:rsidR="00FA67FD" w:rsidRPr="00E8139E" w:rsidRDefault="00FA67FD" w:rsidP="00FA67FD">
            <w:pPr>
              <w:rPr>
                <w:rFonts w:cs="Arial"/>
                <w:b/>
              </w:rPr>
            </w:pPr>
            <w:r w:rsidRPr="00E8139E">
              <w:rPr>
                <w:rFonts w:cs="Arial"/>
                <w:b/>
              </w:rPr>
              <w:t>Publicity</w:t>
            </w:r>
          </w:p>
        </w:tc>
        <w:tc>
          <w:tcPr>
            <w:tcW w:w="5812" w:type="dxa"/>
          </w:tcPr>
          <w:p w:rsidR="00FA67FD" w:rsidRPr="00E8139E" w:rsidRDefault="00FA67FD" w:rsidP="00FA67FD">
            <w:pPr>
              <w:rPr>
                <w:rFonts w:cs="Arial"/>
                <w:i/>
                <w:szCs w:val="24"/>
              </w:rPr>
            </w:pPr>
          </w:p>
          <w:p w:rsidR="00FA67FD" w:rsidRPr="00E8139E" w:rsidRDefault="00FA67FD" w:rsidP="00FA67FD">
            <w:pPr>
              <w:rPr>
                <w:rFonts w:cs="Arial"/>
                <w:i/>
                <w:sz w:val="16"/>
                <w:szCs w:val="16"/>
              </w:rPr>
            </w:pPr>
            <w:r w:rsidRPr="00E8139E">
              <w:rPr>
                <w:rFonts w:cs="Arial"/>
                <w:i/>
                <w:szCs w:val="24"/>
              </w:rPr>
              <w:t>(a) that administering authorities have published details of their governance arrangements in such a way that stakeholders with an interest in the way in which the scheme is governed can express an interest in wanting to be part of those arrangements.</w:t>
            </w:r>
          </w:p>
        </w:tc>
        <w:tc>
          <w:tcPr>
            <w:tcW w:w="2835" w:type="dxa"/>
          </w:tcPr>
          <w:p w:rsidR="00FA67FD" w:rsidRPr="00E8139E" w:rsidRDefault="00FA67FD" w:rsidP="00FA67FD">
            <w:pPr>
              <w:rPr>
                <w:rFonts w:cs="Arial"/>
                <w:szCs w:val="24"/>
              </w:rPr>
            </w:pPr>
          </w:p>
          <w:p w:rsidR="00FA67FD" w:rsidRPr="00E8139E" w:rsidRDefault="00FA67FD" w:rsidP="00FA67FD">
            <w:pPr>
              <w:jc w:val="center"/>
              <w:rPr>
                <w:rFonts w:cs="Arial"/>
                <w:szCs w:val="24"/>
              </w:rPr>
            </w:pPr>
            <w:r w:rsidRPr="00E8139E">
              <w:rPr>
                <w:sz w:val="40"/>
                <w:szCs w:val="40"/>
              </w:rPr>
              <w:sym w:font="Wingdings" w:char="F0FC"/>
            </w:r>
          </w:p>
        </w:tc>
      </w:tr>
    </w:tbl>
    <w:p w:rsidR="0017515A" w:rsidRDefault="0017515A">
      <w:pPr>
        <w:rPr>
          <w:highlight w:val="yellow"/>
        </w:rPr>
      </w:pPr>
    </w:p>
    <w:p w:rsidR="00F8562A" w:rsidRDefault="00F8562A">
      <w:pPr>
        <w:rPr>
          <w:highlight w:val="yellow"/>
        </w:rPr>
      </w:pPr>
    </w:p>
    <w:p w:rsidR="00F8562A" w:rsidRDefault="00F8562A">
      <w:pPr>
        <w:rPr>
          <w:highlight w:val="yellow"/>
        </w:rPr>
      </w:pPr>
    </w:p>
    <w:p w:rsidR="00F8562A" w:rsidRDefault="00F8562A">
      <w:pPr>
        <w:rPr>
          <w:highlight w:val="yellow"/>
        </w:rPr>
      </w:pPr>
    </w:p>
    <w:p w:rsidR="004E4388" w:rsidRDefault="004E4388" w:rsidP="004E4388">
      <w:pPr>
        <w:numPr>
          <w:ilvl w:val="0"/>
          <w:numId w:val="40"/>
        </w:numPr>
        <w:rPr>
          <w:b/>
          <w:snapToGrid w:val="0"/>
          <w:sz w:val="28"/>
          <w:szCs w:val="28"/>
          <w:lang w:eastAsia="en-US"/>
        </w:rPr>
      </w:pPr>
      <w:r>
        <w:rPr>
          <w:b/>
          <w:snapToGrid w:val="0"/>
          <w:sz w:val="28"/>
          <w:szCs w:val="28"/>
          <w:lang w:eastAsia="en-US"/>
        </w:rPr>
        <w:lastRenderedPageBreak/>
        <w:t>Administration of the Pension Fund</w:t>
      </w:r>
      <w:r w:rsidRPr="00FA67FD">
        <w:rPr>
          <w:b/>
          <w:snapToGrid w:val="0"/>
          <w:sz w:val="28"/>
          <w:szCs w:val="28"/>
          <w:lang w:eastAsia="en-US"/>
        </w:rPr>
        <w:t xml:space="preserve"> </w:t>
      </w:r>
    </w:p>
    <w:p w:rsidR="004E4388" w:rsidRPr="00FA67FD" w:rsidRDefault="004E4388" w:rsidP="004E4388">
      <w:pPr>
        <w:ind w:left="360"/>
        <w:rPr>
          <w:b/>
          <w:snapToGrid w:val="0"/>
          <w:sz w:val="28"/>
          <w:szCs w:val="28"/>
          <w:lang w:eastAsia="en-US"/>
        </w:rPr>
      </w:pPr>
    </w:p>
    <w:p w:rsidR="004E4388" w:rsidRPr="00E21C30" w:rsidRDefault="004E4388" w:rsidP="004E4388">
      <w:pPr>
        <w:rPr>
          <w:highlight w:val="yellow"/>
        </w:rPr>
      </w:pPr>
    </w:p>
    <w:p w:rsidR="004E4388" w:rsidRDefault="004E4388" w:rsidP="004E4388">
      <w:pPr>
        <w:pStyle w:val="Header"/>
        <w:rPr>
          <w:b/>
        </w:rPr>
      </w:pPr>
      <w:r w:rsidRPr="0095309D">
        <w:rPr>
          <w:b/>
        </w:rPr>
        <w:t>Background to Lancashire County Pension Fund and the Local Government Pension Scheme</w:t>
      </w:r>
    </w:p>
    <w:p w:rsidR="004E4388" w:rsidRDefault="004E4388" w:rsidP="004E4388">
      <w:pPr>
        <w:pStyle w:val="Header"/>
        <w:rPr>
          <w:b/>
        </w:rPr>
      </w:pPr>
    </w:p>
    <w:p w:rsidR="004E4388" w:rsidRDefault="004E4388" w:rsidP="004E4388">
      <w:pPr>
        <w:pStyle w:val="Header"/>
      </w:pPr>
      <w:r w:rsidRPr="0095309D">
        <w:t>The Local Government Pension Scheme is a statutory public sector pension scheme which operates on a "defined benefit basis".  Lancashire County Council as "Administering Authority" is required by law to administer the Scheme within the geographical area of Lancashire.</w:t>
      </w:r>
    </w:p>
    <w:p w:rsidR="004E4388" w:rsidRDefault="004E4388" w:rsidP="004E4388">
      <w:pPr>
        <w:pStyle w:val="Header"/>
        <w:rPr>
          <w:b/>
        </w:rPr>
      </w:pPr>
    </w:p>
    <w:p w:rsidR="004B3F2D" w:rsidRDefault="004B3F2D" w:rsidP="004E4388">
      <w:pPr>
        <w:autoSpaceDE w:val="0"/>
        <w:autoSpaceDN w:val="0"/>
        <w:adjustRightInd w:val="0"/>
        <w:jc w:val="both"/>
        <w:rPr>
          <w:rFonts w:ascii="Arial,Bold" w:hAnsi="Arial,Bold" w:cs="Arial,Bold"/>
          <w:b/>
          <w:bCs/>
          <w:color w:val="000000"/>
          <w:szCs w:val="24"/>
        </w:rPr>
      </w:pPr>
    </w:p>
    <w:p w:rsidR="004E4388" w:rsidRDefault="004E4388" w:rsidP="004E4388">
      <w:pPr>
        <w:autoSpaceDE w:val="0"/>
        <w:autoSpaceDN w:val="0"/>
        <w:adjustRightInd w:val="0"/>
        <w:jc w:val="both"/>
        <w:rPr>
          <w:rFonts w:ascii="Arial,Bold" w:hAnsi="Arial,Bold" w:cs="Arial,Bold"/>
          <w:b/>
          <w:bCs/>
          <w:color w:val="000000"/>
          <w:szCs w:val="24"/>
        </w:rPr>
      </w:pPr>
      <w:r w:rsidRPr="00FA67FD">
        <w:rPr>
          <w:rFonts w:ascii="Arial,Bold" w:hAnsi="Arial,Bold" w:cs="Arial,Bold"/>
          <w:b/>
          <w:bCs/>
          <w:color w:val="000000"/>
          <w:szCs w:val="24"/>
        </w:rPr>
        <w:t xml:space="preserve">Review of the Year </w:t>
      </w:r>
    </w:p>
    <w:p w:rsidR="00D90077" w:rsidRPr="004B2A3C" w:rsidRDefault="00D90077" w:rsidP="004E4388">
      <w:pPr>
        <w:autoSpaceDE w:val="0"/>
        <w:autoSpaceDN w:val="0"/>
        <w:adjustRightInd w:val="0"/>
        <w:jc w:val="both"/>
        <w:rPr>
          <w:rFonts w:ascii="Arial,Bold" w:hAnsi="Arial,Bold" w:cs="Arial,Bold"/>
          <w:b/>
          <w:bCs/>
          <w:color w:val="000000"/>
          <w:szCs w:val="24"/>
        </w:rPr>
      </w:pPr>
    </w:p>
    <w:p w:rsidR="004E4388" w:rsidRPr="00FA67FD" w:rsidRDefault="004E4388" w:rsidP="004E4388">
      <w:pPr>
        <w:rPr>
          <w:rFonts w:cs="Arial"/>
        </w:rPr>
      </w:pPr>
      <w:r w:rsidRPr="00FA67FD">
        <w:rPr>
          <w:rFonts w:cs="Arial"/>
        </w:rPr>
        <w:t>2013 has been a busy year of planning and preparation for the new LGPS2014.  This began with a communication campaign and strategy to encourage members to make use of the Service's "My Pension Online" self service facility.  This facility will be a key communication channel in the future and has been used to communicate the 2014 scheme changes.</w:t>
      </w:r>
    </w:p>
    <w:p w:rsidR="004E4388" w:rsidRDefault="004E4388" w:rsidP="004E4388">
      <w:pPr>
        <w:pStyle w:val="Header"/>
        <w:rPr>
          <w:b/>
        </w:rPr>
      </w:pPr>
    </w:p>
    <w:p w:rsidR="004E4388" w:rsidRDefault="004E4388" w:rsidP="004E4388">
      <w:pPr>
        <w:pStyle w:val="Header"/>
        <w:rPr>
          <w:rFonts w:cs="Arial"/>
        </w:rPr>
      </w:pPr>
      <w:r w:rsidRPr="00FA67FD">
        <w:rPr>
          <w:rFonts w:cs="Arial"/>
        </w:rPr>
        <w:t>LGPS2014 road</w:t>
      </w:r>
      <w:r w:rsidR="00CB356C">
        <w:rPr>
          <w:rFonts w:cs="Arial"/>
        </w:rPr>
        <w:t>-</w:t>
      </w:r>
      <w:r w:rsidRPr="00FA67FD">
        <w:rPr>
          <w:rFonts w:cs="Arial"/>
        </w:rPr>
        <w:t xml:space="preserve">shows were hosted at 27 locations across Lancashire.  Approximately 3,000 scheme members have </w:t>
      </w:r>
      <w:r w:rsidR="00CB356C">
        <w:rPr>
          <w:rFonts w:cs="Arial"/>
        </w:rPr>
        <w:t>attended these events.  The road-</w:t>
      </w:r>
      <w:r w:rsidRPr="00FA67FD">
        <w:rPr>
          <w:rFonts w:cs="Arial"/>
        </w:rPr>
        <w:t>show was also webcast to make it available to all members and has received over 3,800 hits to date</w:t>
      </w:r>
      <w:r>
        <w:rPr>
          <w:rFonts w:cs="Arial"/>
        </w:rPr>
        <w:t>.</w:t>
      </w:r>
    </w:p>
    <w:p w:rsidR="004E4388" w:rsidRPr="0095309D" w:rsidRDefault="004E4388" w:rsidP="004E4388">
      <w:pPr>
        <w:pStyle w:val="Header"/>
        <w:rPr>
          <w:b/>
        </w:rPr>
      </w:pPr>
    </w:p>
    <w:p w:rsidR="004B3F2D" w:rsidRDefault="004B3F2D" w:rsidP="004E4388">
      <w:pPr>
        <w:rPr>
          <w:rFonts w:cs="Arial"/>
          <w:b/>
        </w:rPr>
      </w:pPr>
    </w:p>
    <w:p w:rsidR="004E4388" w:rsidRDefault="004E4388" w:rsidP="004E4388">
      <w:pPr>
        <w:rPr>
          <w:rFonts w:cs="Arial"/>
          <w:b/>
        </w:rPr>
      </w:pPr>
      <w:r w:rsidRPr="00FA67FD">
        <w:rPr>
          <w:rFonts w:cs="Arial"/>
          <w:b/>
        </w:rPr>
        <w:t>Awards</w:t>
      </w:r>
    </w:p>
    <w:p w:rsidR="00D90077" w:rsidRDefault="00D90077" w:rsidP="004E4388">
      <w:pPr>
        <w:rPr>
          <w:rFonts w:cs="Arial"/>
          <w:b/>
        </w:rPr>
      </w:pPr>
    </w:p>
    <w:p w:rsidR="004E4388" w:rsidRDefault="004E4388" w:rsidP="004E4388">
      <w:pPr>
        <w:rPr>
          <w:rFonts w:cs="Arial"/>
        </w:rPr>
      </w:pPr>
      <w:r w:rsidRPr="00FA67FD">
        <w:rPr>
          <w:rFonts w:cs="Arial"/>
        </w:rPr>
        <w:t>Your Pension Service was awarded the Quality of Service award at the Local Government Chronicle Investment Awards held in December.  This award focuses upon the service provided to internal and external customers and on new developments that enhance quality in the delivery of financial services.</w:t>
      </w:r>
    </w:p>
    <w:p w:rsidR="004E4388" w:rsidRDefault="004E4388" w:rsidP="004E4388">
      <w:pPr>
        <w:autoSpaceDE w:val="0"/>
        <w:autoSpaceDN w:val="0"/>
        <w:adjustRightInd w:val="0"/>
        <w:rPr>
          <w:rFonts w:ascii="ArialMT" w:hAnsi="ArialMT" w:cs="ArialMT"/>
          <w:color w:val="000000"/>
          <w:szCs w:val="24"/>
          <w:highlight w:val="yellow"/>
        </w:rPr>
      </w:pPr>
    </w:p>
    <w:p w:rsidR="004E4388" w:rsidRDefault="004E4388" w:rsidP="004E4388">
      <w:pPr>
        <w:autoSpaceDE w:val="0"/>
        <w:autoSpaceDN w:val="0"/>
        <w:adjustRightInd w:val="0"/>
        <w:rPr>
          <w:rFonts w:ascii="ArialMT" w:hAnsi="ArialMT" w:cs="ArialMT"/>
          <w:color w:val="000000"/>
          <w:szCs w:val="24"/>
          <w:highlight w:val="yellow"/>
        </w:rPr>
      </w:pPr>
    </w:p>
    <w:p w:rsidR="004E4388" w:rsidRDefault="004E4388" w:rsidP="00F42D35">
      <w:pPr>
        <w:autoSpaceDE w:val="0"/>
        <w:autoSpaceDN w:val="0"/>
        <w:adjustRightInd w:val="0"/>
        <w:jc w:val="center"/>
        <w:rPr>
          <w:rFonts w:ascii="ArialMT" w:hAnsi="ArialMT" w:cs="ArialMT"/>
          <w:color w:val="000000"/>
          <w:szCs w:val="24"/>
          <w:highlight w:val="yellow"/>
        </w:rPr>
      </w:pPr>
    </w:p>
    <w:p w:rsidR="004E4388" w:rsidRDefault="004E4388" w:rsidP="004E4388">
      <w:pPr>
        <w:autoSpaceDE w:val="0"/>
        <w:autoSpaceDN w:val="0"/>
        <w:adjustRightInd w:val="0"/>
        <w:rPr>
          <w:rFonts w:ascii="ArialMT" w:hAnsi="ArialMT" w:cs="ArialMT"/>
          <w:color w:val="000000"/>
          <w:szCs w:val="24"/>
          <w:highlight w:val="yellow"/>
        </w:rPr>
      </w:pPr>
    </w:p>
    <w:p w:rsidR="004E4388" w:rsidRDefault="004E4388" w:rsidP="004E4388">
      <w:pPr>
        <w:autoSpaceDE w:val="0"/>
        <w:autoSpaceDN w:val="0"/>
        <w:adjustRightInd w:val="0"/>
        <w:rPr>
          <w:rFonts w:ascii="ArialMT" w:hAnsi="ArialMT" w:cs="ArialMT"/>
          <w:color w:val="000000"/>
          <w:szCs w:val="24"/>
          <w:highlight w:val="yellow"/>
        </w:rPr>
      </w:pPr>
    </w:p>
    <w:p w:rsidR="004E4388" w:rsidRDefault="004E4388" w:rsidP="004E4388">
      <w:pPr>
        <w:pStyle w:val="Header"/>
        <w:rPr>
          <w:b/>
        </w:rPr>
      </w:pPr>
      <w:r w:rsidRPr="0095309D">
        <w:rPr>
          <w:b/>
        </w:rPr>
        <w:t>Membership and employers</w:t>
      </w:r>
    </w:p>
    <w:p w:rsidR="00D90077" w:rsidRPr="0095309D" w:rsidRDefault="00D90077" w:rsidP="004E4388">
      <w:pPr>
        <w:pStyle w:val="Header"/>
        <w:rPr>
          <w:b/>
        </w:rPr>
      </w:pPr>
    </w:p>
    <w:p w:rsidR="004E4388" w:rsidRDefault="004E4388" w:rsidP="004E4388">
      <w:pPr>
        <w:pStyle w:val="Header"/>
      </w:pPr>
      <w:r w:rsidRPr="0095309D">
        <w:t xml:space="preserve">The County Council administers the Scheme for over 290 organisations including organisations such as local authorities, further and higher education colleges, voluntary and charitable organisations and private contractors undertaking a local authority function following outsourcing to the private sector. </w:t>
      </w:r>
    </w:p>
    <w:p w:rsidR="004B3F2D" w:rsidRDefault="004B3F2D" w:rsidP="004E4388">
      <w:pPr>
        <w:pStyle w:val="Header"/>
      </w:pPr>
    </w:p>
    <w:p w:rsidR="004E4388" w:rsidRDefault="004E4388" w:rsidP="004E4388">
      <w:pPr>
        <w:pStyle w:val="Header"/>
        <w:rPr>
          <w:noProof/>
        </w:rPr>
      </w:pPr>
      <w:r w:rsidRPr="0095309D">
        <w:t>Membership of the LGPS is voluntary and employees are free to choose whether to join the scheme, remain in the sc</w:t>
      </w:r>
      <w:r>
        <w:t>heme or make their own personal ar</w:t>
      </w:r>
      <w:r w:rsidRPr="0095309D">
        <w:t>rangements outside the scheme.</w:t>
      </w:r>
      <w:r w:rsidRPr="00550413">
        <w:rPr>
          <w:noProof/>
        </w:rPr>
        <w:t xml:space="preserve"> </w:t>
      </w:r>
    </w:p>
    <w:p w:rsidR="00C06EB1" w:rsidRDefault="00C06EB1" w:rsidP="004E4388"/>
    <w:p w:rsidR="00C06EB1" w:rsidRDefault="00323E71" w:rsidP="004E4388">
      <w:r>
        <w:rPr>
          <w:noProof/>
        </w:rPr>
        <w:lastRenderedPageBreak/>
        <w:drawing>
          <wp:inline distT="0" distB="0" distL="0" distR="0" wp14:anchorId="0F149DDC">
            <wp:extent cx="3096895" cy="19450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r w:rsidR="00626FE6" w:rsidRPr="000F468B">
        <w:rPr>
          <w:noProof/>
        </w:rPr>
        <w:drawing>
          <wp:inline distT="0" distB="0" distL="0" distR="0" wp14:anchorId="5EB8C8B1" wp14:editId="71F81613">
            <wp:extent cx="3876675" cy="2085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254" cy="2146014"/>
                    </a:xfrm>
                    <a:prstGeom prst="rect">
                      <a:avLst/>
                    </a:prstGeom>
                    <a:ln>
                      <a:noFill/>
                    </a:ln>
                    <a:effectLst>
                      <a:softEdge rad="112500"/>
                    </a:effectLst>
                  </pic:spPr>
                </pic:pic>
              </a:graphicData>
            </a:graphic>
          </wp:inline>
        </w:drawing>
      </w:r>
    </w:p>
    <w:p w:rsidR="004E4388" w:rsidRDefault="00626FE6" w:rsidP="00C06EB1">
      <w:pPr>
        <w:rPr>
          <w:noProof/>
        </w:rPr>
      </w:pPr>
      <w:r>
        <w:rPr>
          <w:noProof/>
        </w:rPr>
        <w:t xml:space="preserve">           </w:t>
      </w:r>
    </w:p>
    <w:p w:rsidR="004E4388" w:rsidRDefault="00000207" w:rsidP="004E4388">
      <w:pPr>
        <w:rPr>
          <w:noProof/>
        </w:rPr>
      </w:pPr>
      <w:r>
        <w:rPr>
          <w:noProof/>
        </w:rPr>
        <mc:AlternateContent>
          <mc:Choice Requires="wps">
            <w:drawing>
              <wp:anchor distT="45720" distB="45720" distL="114300" distR="114300" simplePos="0" relativeHeight="251660800" behindDoc="0" locked="0" layoutInCell="1" allowOverlap="1" wp14:anchorId="12CBF9A7" wp14:editId="36354878">
                <wp:simplePos x="0" y="0"/>
                <wp:positionH relativeFrom="margin">
                  <wp:posOffset>38100</wp:posOffset>
                </wp:positionH>
                <wp:positionV relativeFrom="paragraph">
                  <wp:posOffset>5080</wp:posOffset>
                </wp:positionV>
                <wp:extent cx="4200525" cy="1228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2287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80191" w:rsidRDefault="00480191" w:rsidP="00626FE6">
                            <w:pPr>
                              <w:pStyle w:val="Header"/>
                              <w:jc w:val="center"/>
                              <w:rPr>
                                <w:b/>
                                <w:color w:val="4F81BD" w:themeColor="accent1"/>
                              </w:rPr>
                            </w:pPr>
                          </w:p>
                          <w:p w:rsidR="00480191" w:rsidRDefault="00480191" w:rsidP="00626FE6">
                            <w:pPr>
                              <w:pStyle w:val="Header"/>
                              <w:jc w:val="center"/>
                              <w:rPr>
                                <w:b/>
                                <w:color w:val="4F81BD" w:themeColor="accent1"/>
                                <w:sz w:val="22"/>
                                <w:szCs w:val="22"/>
                              </w:rPr>
                            </w:pPr>
                            <w:r>
                              <w:rPr>
                                <w:b/>
                                <w:color w:val="4F81BD" w:themeColor="accent1"/>
                                <w:sz w:val="22"/>
                                <w:szCs w:val="22"/>
                              </w:rPr>
                              <w:t>Members aged from 16 to 102 years</w:t>
                            </w:r>
                          </w:p>
                          <w:p w:rsidR="00480191" w:rsidRDefault="00480191" w:rsidP="00626FE6">
                            <w:pPr>
                              <w:pStyle w:val="Header"/>
                              <w:jc w:val="center"/>
                              <w:rPr>
                                <w:b/>
                                <w:color w:val="4F81BD" w:themeColor="accent1"/>
                                <w:sz w:val="22"/>
                                <w:szCs w:val="22"/>
                              </w:rPr>
                            </w:pPr>
                          </w:p>
                          <w:p w:rsidR="00480191" w:rsidRPr="001C7C2B" w:rsidRDefault="00480191" w:rsidP="00626FE6">
                            <w:pPr>
                              <w:pStyle w:val="Header"/>
                              <w:jc w:val="center"/>
                              <w:rPr>
                                <w:b/>
                                <w:color w:val="4F81BD" w:themeColor="accent1"/>
                                <w:sz w:val="22"/>
                                <w:szCs w:val="22"/>
                              </w:rPr>
                            </w:pPr>
                            <w:r w:rsidRPr="001C7C2B">
                              <w:rPr>
                                <w:b/>
                                <w:color w:val="4F81BD" w:themeColor="accent1"/>
                                <w:sz w:val="22"/>
                                <w:szCs w:val="22"/>
                              </w:rPr>
                              <w:t>Average pension in payment  £5,047.60</w:t>
                            </w:r>
                          </w:p>
                          <w:p w:rsidR="00480191" w:rsidRDefault="00480191" w:rsidP="00626FE6">
                            <w:pPr>
                              <w:pStyle w:val="Header"/>
                              <w:jc w:val="center"/>
                              <w:rPr>
                                <w:b/>
                                <w:color w:val="4F81BD" w:themeColor="accent1"/>
                                <w:sz w:val="22"/>
                                <w:szCs w:val="22"/>
                              </w:rPr>
                            </w:pPr>
                          </w:p>
                          <w:p w:rsidR="00480191" w:rsidRPr="001C7C2B" w:rsidRDefault="00480191" w:rsidP="00626FE6">
                            <w:pPr>
                              <w:pStyle w:val="Header"/>
                              <w:jc w:val="center"/>
                              <w:rPr>
                                <w:b/>
                                <w:color w:val="4F81BD" w:themeColor="accent1"/>
                                <w:sz w:val="22"/>
                                <w:szCs w:val="22"/>
                              </w:rPr>
                            </w:pPr>
                            <w:r w:rsidRPr="001C7C2B">
                              <w:rPr>
                                <w:b/>
                                <w:color w:val="4F81BD" w:themeColor="accent1"/>
                                <w:sz w:val="22"/>
                                <w:szCs w:val="22"/>
                              </w:rPr>
                              <w:t xml:space="preserve">Average spouses pension  </w:t>
                            </w:r>
                            <w:r>
                              <w:rPr>
                                <w:b/>
                                <w:color w:val="4F81BD" w:themeColor="accent1"/>
                                <w:sz w:val="22"/>
                                <w:szCs w:val="22"/>
                              </w:rPr>
                              <w:t xml:space="preserve">     </w:t>
                            </w:r>
                            <w:r w:rsidRPr="001C7C2B">
                              <w:rPr>
                                <w:b/>
                                <w:color w:val="4F81BD" w:themeColor="accent1"/>
                                <w:sz w:val="22"/>
                                <w:szCs w:val="22"/>
                              </w:rPr>
                              <w:t>£2,772.69</w:t>
                            </w:r>
                          </w:p>
                          <w:p w:rsidR="00480191" w:rsidRDefault="00480191" w:rsidP="00626FE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BF9A7" id="_x0000_t202" coordsize="21600,21600" o:spt="202" path="m,l,21600r21600,l21600,xe">
                <v:stroke joinstyle="miter"/>
                <v:path gradientshapeok="t" o:connecttype="rect"/>
              </v:shapetype>
              <v:shape id="Text Box 2" o:spid="_x0000_s1026" type="#_x0000_t202" style="position:absolute;margin-left:3pt;margin-top:.4pt;width:330.75pt;height:96.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" fillcolor="#bfb1d0 [1623]" strokecolor="#795d9b [3047]">
                <v:fill color2="#ece7f1 [503]" rotate="t" angle="180" colors="0 #c9b5e8;22938f #d9cbee;1 #f0eaf9" focus="100%" type="gradient"/>
                <v:shadow on="t" color="black" opacity="24903f" origin=",.5" offset="0,.55556mm"/>
                <v:textbox>
                  <w:txbxContent>
                    <w:p w:rsidR="00480191" w:rsidRDefault="00480191" w:rsidP="00626FE6">
                      <w:pPr>
                        <w:pStyle w:val="Header"/>
                        <w:jc w:val="center"/>
                        <w:rPr>
                          <w:b/>
                          <w:color w:val="4F81BD" w:themeColor="accent1"/>
                        </w:rPr>
                      </w:pPr>
                    </w:p>
                    <w:p w:rsidR="00480191" w:rsidRDefault="00480191" w:rsidP="00626FE6">
                      <w:pPr>
                        <w:pStyle w:val="Header"/>
                        <w:jc w:val="center"/>
                        <w:rPr>
                          <w:b/>
                          <w:color w:val="4F81BD" w:themeColor="accent1"/>
                          <w:sz w:val="22"/>
                          <w:szCs w:val="22"/>
                        </w:rPr>
                      </w:pPr>
                      <w:r>
                        <w:rPr>
                          <w:b/>
                          <w:color w:val="4F81BD" w:themeColor="accent1"/>
                          <w:sz w:val="22"/>
                          <w:szCs w:val="22"/>
                        </w:rPr>
                        <w:t>Members aged from 16 to 102 years</w:t>
                      </w:r>
                    </w:p>
                    <w:p w:rsidR="00480191" w:rsidRDefault="00480191" w:rsidP="00626FE6">
                      <w:pPr>
                        <w:pStyle w:val="Header"/>
                        <w:jc w:val="center"/>
                        <w:rPr>
                          <w:b/>
                          <w:color w:val="4F81BD" w:themeColor="accent1"/>
                          <w:sz w:val="22"/>
                          <w:szCs w:val="22"/>
                        </w:rPr>
                      </w:pPr>
                    </w:p>
                    <w:p w:rsidR="00480191" w:rsidRPr="001C7C2B" w:rsidRDefault="00480191" w:rsidP="00626FE6">
                      <w:pPr>
                        <w:pStyle w:val="Header"/>
                        <w:jc w:val="center"/>
                        <w:rPr>
                          <w:b/>
                          <w:color w:val="4F81BD" w:themeColor="accent1"/>
                          <w:sz w:val="22"/>
                          <w:szCs w:val="22"/>
                        </w:rPr>
                      </w:pPr>
                      <w:r w:rsidRPr="001C7C2B">
                        <w:rPr>
                          <w:b/>
                          <w:color w:val="4F81BD" w:themeColor="accent1"/>
                          <w:sz w:val="22"/>
                          <w:szCs w:val="22"/>
                        </w:rPr>
                        <w:t>Average pension in payment  £5,047.60</w:t>
                      </w:r>
                    </w:p>
                    <w:p w:rsidR="00480191" w:rsidRDefault="00480191" w:rsidP="00626FE6">
                      <w:pPr>
                        <w:pStyle w:val="Header"/>
                        <w:jc w:val="center"/>
                        <w:rPr>
                          <w:b/>
                          <w:color w:val="4F81BD" w:themeColor="accent1"/>
                          <w:sz w:val="22"/>
                          <w:szCs w:val="22"/>
                        </w:rPr>
                      </w:pPr>
                    </w:p>
                    <w:p w:rsidR="00480191" w:rsidRPr="001C7C2B" w:rsidRDefault="00480191" w:rsidP="00626FE6">
                      <w:pPr>
                        <w:pStyle w:val="Header"/>
                        <w:jc w:val="center"/>
                        <w:rPr>
                          <w:b/>
                          <w:color w:val="4F81BD" w:themeColor="accent1"/>
                          <w:sz w:val="22"/>
                          <w:szCs w:val="22"/>
                        </w:rPr>
                      </w:pPr>
                      <w:r w:rsidRPr="001C7C2B">
                        <w:rPr>
                          <w:b/>
                          <w:color w:val="4F81BD" w:themeColor="accent1"/>
                          <w:sz w:val="22"/>
                          <w:szCs w:val="22"/>
                        </w:rPr>
                        <w:t xml:space="preserve">Average spouses pension  </w:t>
                      </w:r>
                      <w:r>
                        <w:rPr>
                          <w:b/>
                          <w:color w:val="4F81BD" w:themeColor="accent1"/>
                          <w:sz w:val="22"/>
                          <w:szCs w:val="22"/>
                        </w:rPr>
                        <w:t xml:space="preserve">     </w:t>
                      </w:r>
                      <w:r w:rsidRPr="001C7C2B">
                        <w:rPr>
                          <w:b/>
                          <w:color w:val="4F81BD" w:themeColor="accent1"/>
                          <w:sz w:val="22"/>
                          <w:szCs w:val="22"/>
                        </w:rPr>
                        <w:t>£2,772.69</w:t>
                      </w:r>
                    </w:p>
                    <w:p w:rsidR="00480191" w:rsidRDefault="00480191" w:rsidP="00626FE6">
                      <w:pPr>
                        <w:jc w:val="center"/>
                      </w:pPr>
                    </w:p>
                  </w:txbxContent>
                </v:textbox>
                <w10:wrap type="square" anchorx="margin"/>
              </v:shape>
            </w:pict>
          </mc:Fallback>
        </mc:AlternateContent>
      </w:r>
    </w:p>
    <w:p w:rsidR="00626FE6" w:rsidRDefault="00626FE6" w:rsidP="00F42D35">
      <w:pPr>
        <w:pStyle w:val="Header"/>
      </w:pPr>
    </w:p>
    <w:p w:rsidR="00626FE6" w:rsidRDefault="00626FE6" w:rsidP="00F42D35">
      <w:pPr>
        <w:pStyle w:val="Header"/>
      </w:pPr>
    </w:p>
    <w:p w:rsidR="00626FE6" w:rsidRDefault="00626FE6" w:rsidP="00F42D35">
      <w:pPr>
        <w:pStyle w:val="Header"/>
      </w:pPr>
    </w:p>
    <w:p w:rsidR="00626FE6" w:rsidRDefault="00626FE6" w:rsidP="00F42D35">
      <w:pPr>
        <w:pStyle w:val="Header"/>
      </w:pPr>
    </w:p>
    <w:p w:rsidR="00626FE6" w:rsidRDefault="00626FE6" w:rsidP="00F42D35">
      <w:pPr>
        <w:pStyle w:val="Header"/>
      </w:pPr>
    </w:p>
    <w:p w:rsidR="00626FE6" w:rsidRDefault="00626FE6" w:rsidP="00F42D35">
      <w:pPr>
        <w:pStyle w:val="Header"/>
      </w:pPr>
    </w:p>
    <w:p w:rsidR="00626FE6" w:rsidRDefault="00626FE6" w:rsidP="00F42D35">
      <w:pPr>
        <w:pStyle w:val="Header"/>
      </w:pPr>
    </w:p>
    <w:p w:rsidR="00626FE6" w:rsidRDefault="00626FE6" w:rsidP="00F42D35">
      <w:pPr>
        <w:pStyle w:val="Header"/>
      </w:pPr>
    </w:p>
    <w:p w:rsidR="00F42D35" w:rsidRDefault="00F42D35" w:rsidP="00F42D35">
      <w:pPr>
        <w:pStyle w:val="Header"/>
      </w:pPr>
      <w:r w:rsidRPr="0095309D">
        <w:t>Membership of the Fun</w:t>
      </w:r>
      <w:r>
        <w:t>d</w:t>
      </w:r>
      <w:r w:rsidRPr="0095309D">
        <w:t xml:space="preserve"> has increased by 5% over the year:</w:t>
      </w:r>
    </w:p>
    <w:tbl>
      <w:tblPr>
        <w:tblStyle w:val="TableGrid"/>
        <w:tblW w:w="0" w:type="auto"/>
        <w:tblLook w:val="04A0" w:firstRow="1" w:lastRow="0" w:firstColumn="1" w:lastColumn="0" w:noHBand="0" w:noVBand="1"/>
      </w:tblPr>
      <w:tblGrid>
        <w:gridCol w:w="2481"/>
        <w:gridCol w:w="1834"/>
        <w:gridCol w:w="2243"/>
        <w:gridCol w:w="1973"/>
        <w:gridCol w:w="1827"/>
      </w:tblGrid>
      <w:tr w:rsidR="00626FE6" w:rsidRPr="00FA67FD" w:rsidTr="005F554C">
        <w:tc>
          <w:tcPr>
            <w:tcW w:w="2548" w:type="dxa"/>
          </w:tcPr>
          <w:p w:rsidR="005F554C" w:rsidRPr="005F554C" w:rsidRDefault="00626FE6" w:rsidP="00F42D35">
            <w:pPr>
              <w:rPr>
                <w:b/>
                <w:sz w:val="20"/>
                <w:lang w:eastAsia="en-US"/>
              </w:rPr>
            </w:pPr>
            <w:r>
              <w:rPr>
                <w:b/>
                <w:szCs w:val="24"/>
                <w:lang w:eastAsia="en-US"/>
              </w:rPr>
              <w:t>A</w:t>
            </w:r>
            <w:r w:rsidR="005F554C" w:rsidRPr="005F554C">
              <w:rPr>
                <w:b/>
                <w:szCs w:val="24"/>
                <w:lang w:eastAsia="en-US"/>
              </w:rPr>
              <w:t>t 31 March 2014</w:t>
            </w:r>
          </w:p>
        </w:tc>
        <w:tc>
          <w:tcPr>
            <w:tcW w:w="1866" w:type="dxa"/>
          </w:tcPr>
          <w:p w:rsidR="005F554C" w:rsidRPr="009D3EF9" w:rsidRDefault="005F554C" w:rsidP="005F554C">
            <w:pPr>
              <w:jc w:val="right"/>
              <w:rPr>
                <w:b/>
                <w:szCs w:val="24"/>
                <w:lang w:eastAsia="en-US"/>
              </w:rPr>
            </w:pPr>
            <w:r>
              <w:rPr>
                <w:b/>
                <w:szCs w:val="24"/>
                <w:lang w:eastAsia="en-US"/>
              </w:rPr>
              <w:t>Active scheme members</w:t>
            </w:r>
          </w:p>
        </w:tc>
        <w:tc>
          <w:tcPr>
            <w:tcW w:w="2287" w:type="dxa"/>
          </w:tcPr>
          <w:p w:rsidR="005F554C" w:rsidRPr="009D3EF9" w:rsidRDefault="005F554C" w:rsidP="00E0378A">
            <w:pPr>
              <w:jc w:val="right"/>
              <w:rPr>
                <w:b/>
                <w:szCs w:val="24"/>
                <w:lang w:eastAsia="en-US"/>
              </w:rPr>
            </w:pPr>
            <w:r>
              <w:rPr>
                <w:b/>
                <w:szCs w:val="24"/>
                <w:lang w:eastAsia="en-US"/>
              </w:rPr>
              <w:t xml:space="preserve">Deferred pensioners </w:t>
            </w:r>
          </w:p>
        </w:tc>
        <w:tc>
          <w:tcPr>
            <w:tcW w:w="2013" w:type="dxa"/>
          </w:tcPr>
          <w:p w:rsidR="005F554C" w:rsidRPr="009D3EF9" w:rsidRDefault="005F554C" w:rsidP="00E0378A">
            <w:pPr>
              <w:jc w:val="right"/>
              <w:rPr>
                <w:b/>
                <w:szCs w:val="24"/>
                <w:lang w:eastAsia="en-US"/>
              </w:rPr>
            </w:pPr>
            <w:r>
              <w:rPr>
                <w:b/>
                <w:szCs w:val="24"/>
                <w:lang w:eastAsia="en-US"/>
              </w:rPr>
              <w:t>Pensions in payment</w:t>
            </w:r>
          </w:p>
        </w:tc>
        <w:tc>
          <w:tcPr>
            <w:tcW w:w="1870" w:type="dxa"/>
          </w:tcPr>
          <w:p w:rsidR="005F554C" w:rsidRDefault="005F554C" w:rsidP="00E0378A">
            <w:pPr>
              <w:jc w:val="right"/>
              <w:rPr>
                <w:b/>
                <w:szCs w:val="24"/>
                <w:lang w:eastAsia="en-US"/>
              </w:rPr>
            </w:pPr>
            <w:r>
              <w:rPr>
                <w:b/>
                <w:szCs w:val="24"/>
                <w:lang w:eastAsia="en-US"/>
              </w:rPr>
              <w:t>Total</w:t>
            </w:r>
          </w:p>
        </w:tc>
      </w:tr>
      <w:tr w:rsidR="00626FE6" w:rsidRPr="00FA67FD" w:rsidTr="005F554C">
        <w:trPr>
          <w:trHeight w:val="387"/>
        </w:trPr>
        <w:tc>
          <w:tcPr>
            <w:tcW w:w="2548" w:type="dxa"/>
          </w:tcPr>
          <w:p w:rsidR="005F554C" w:rsidRPr="009D3EF9" w:rsidRDefault="005F554C" w:rsidP="00F42D35">
            <w:pPr>
              <w:rPr>
                <w:szCs w:val="24"/>
                <w:lang w:eastAsia="en-US"/>
              </w:rPr>
            </w:pPr>
            <w:r>
              <w:rPr>
                <w:szCs w:val="24"/>
                <w:lang w:eastAsia="en-US"/>
              </w:rPr>
              <w:t>Scheduled bodies</w:t>
            </w:r>
          </w:p>
        </w:tc>
        <w:tc>
          <w:tcPr>
            <w:tcW w:w="1866" w:type="dxa"/>
          </w:tcPr>
          <w:p w:rsidR="005F554C" w:rsidRPr="009D3EF9" w:rsidRDefault="005F554C" w:rsidP="00F42D35">
            <w:pPr>
              <w:jc w:val="right"/>
              <w:rPr>
                <w:szCs w:val="24"/>
                <w:lang w:eastAsia="en-US"/>
              </w:rPr>
            </w:pPr>
            <w:r>
              <w:rPr>
                <w:szCs w:val="24"/>
                <w:lang w:eastAsia="en-US"/>
              </w:rPr>
              <w:t>50,765</w:t>
            </w:r>
          </w:p>
        </w:tc>
        <w:tc>
          <w:tcPr>
            <w:tcW w:w="2287" w:type="dxa"/>
          </w:tcPr>
          <w:p w:rsidR="005F554C" w:rsidRPr="009D3EF9" w:rsidRDefault="005F554C" w:rsidP="00F42D35">
            <w:pPr>
              <w:jc w:val="right"/>
              <w:rPr>
                <w:szCs w:val="24"/>
                <w:lang w:eastAsia="en-US"/>
              </w:rPr>
            </w:pPr>
            <w:r>
              <w:rPr>
                <w:szCs w:val="24"/>
                <w:lang w:eastAsia="en-US"/>
              </w:rPr>
              <w:t>50,374</w:t>
            </w:r>
          </w:p>
        </w:tc>
        <w:tc>
          <w:tcPr>
            <w:tcW w:w="2013" w:type="dxa"/>
          </w:tcPr>
          <w:p w:rsidR="005F554C" w:rsidRPr="009D3EF9" w:rsidRDefault="005F554C" w:rsidP="00F42D35">
            <w:pPr>
              <w:jc w:val="right"/>
              <w:rPr>
                <w:szCs w:val="24"/>
                <w:lang w:eastAsia="en-US"/>
              </w:rPr>
            </w:pPr>
            <w:r>
              <w:rPr>
                <w:szCs w:val="24"/>
                <w:lang w:eastAsia="en-US"/>
              </w:rPr>
              <w:t>39,629</w:t>
            </w:r>
          </w:p>
        </w:tc>
        <w:tc>
          <w:tcPr>
            <w:tcW w:w="1870" w:type="dxa"/>
          </w:tcPr>
          <w:p w:rsidR="005F554C" w:rsidRPr="009D3EF9" w:rsidRDefault="005F554C" w:rsidP="00F42D35">
            <w:pPr>
              <w:jc w:val="right"/>
              <w:rPr>
                <w:szCs w:val="24"/>
                <w:lang w:eastAsia="en-US"/>
              </w:rPr>
            </w:pPr>
            <w:r>
              <w:rPr>
                <w:szCs w:val="24"/>
                <w:lang w:eastAsia="en-US"/>
              </w:rPr>
              <w:t>140,768</w:t>
            </w:r>
          </w:p>
        </w:tc>
      </w:tr>
      <w:tr w:rsidR="00626FE6" w:rsidRPr="00FA67FD" w:rsidTr="005F554C">
        <w:trPr>
          <w:trHeight w:val="493"/>
        </w:trPr>
        <w:tc>
          <w:tcPr>
            <w:tcW w:w="2548" w:type="dxa"/>
          </w:tcPr>
          <w:p w:rsidR="005F554C" w:rsidRPr="009D3EF9" w:rsidRDefault="005F554C" w:rsidP="00F42D35">
            <w:pPr>
              <w:rPr>
                <w:szCs w:val="24"/>
                <w:lang w:eastAsia="en-US"/>
              </w:rPr>
            </w:pPr>
            <w:r>
              <w:rPr>
                <w:szCs w:val="24"/>
                <w:lang w:eastAsia="en-US"/>
              </w:rPr>
              <w:t>Admitted bodies</w:t>
            </w:r>
          </w:p>
        </w:tc>
        <w:tc>
          <w:tcPr>
            <w:tcW w:w="1866" w:type="dxa"/>
          </w:tcPr>
          <w:p w:rsidR="005F554C" w:rsidRPr="009D3EF9" w:rsidRDefault="005F554C" w:rsidP="00F42D35">
            <w:pPr>
              <w:jc w:val="right"/>
              <w:rPr>
                <w:szCs w:val="24"/>
                <w:lang w:eastAsia="en-US"/>
              </w:rPr>
            </w:pPr>
            <w:r>
              <w:rPr>
                <w:szCs w:val="24"/>
                <w:lang w:eastAsia="en-US"/>
              </w:rPr>
              <w:t>3,979</w:t>
            </w:r>
          </w:p>
        </w:tc>
        <w:tc>
          <w:tcPr>
            <w:tcW w:w="2287" w:type="dxa"/>
          </w:tcPr>
          <w:p w:rsidR="005F554C" w:rsidRPr="009D3EF9" w:rsidRDefault="005F554C" w:rsidP="00F42D35">
            <w:pPr>
              <w:jc w:val="right"/>
              <w:rPr>
                <w:szCs w:val="24"/>
                <w:lang w:eastAsia="en-US"/>
              </w:rPr>
            </w:pPr>
            <w:r>
              <w:rPr>
                <w:szCs w:val="24"/>
                <w:lang w:eastAsia="en-US"/>
              </w:rPr>
              <w:t>3,521</w:t>
            </w:r>
          </w:p>
        </w:tc>
        <w:tc>
          <w:tcPr>
            <w:tcW w:w="2013" w:type="dxa"/>
          </w:tcPr>
          <w:p w:rsidR="005F554C" w:rsidRPr="009D3EF9" w:rsidRDefault="005F554C" w:rsidP="00F42D35">
            <w:pPr>
              <w:jc w:val="right"/>
              <w:rPr>
                <w:szCs w:val="24"/>
                <w:lang w:eastAsia="en-US"/>
              </w:rPr>
            </w:pPr>
            <w:r>
              <w:rPr>
                <w:szCs w:val="24"/>
                <w:lang w:eastAsia="en-US"/>
              </w:rPr>
              <w:t>2,649</w:t>
            </w:r>
          </w:p>
        </w:tc>
        <w:tc>
          <w:tcPr>
            <w:tcW w:w="1870" w:type="dxa"/>
          </w:tcPr>
          <w:p w:rsidR="005F554C" w:rsidRPr="009D3EF9" w:rsidRDefault="005F554C" w:rsidP="00F42D35">
            <w:pPr>
              <w:jc w:val="right"/>
              <w:rPr>
                <w:szCs w:val="24"/>
                <w:lang w:eastAsia="en-US"/>
              </w:rPr>
            </w:pPr>
            <w:r>
              <w:rPr>
                <w:szCs w:val="24"/>
                <w:lang w:eastAsia="en-US"/>
              </w:rPr>
              <w:t>10,149</w:t>
            </w:r>
          </w:p>
        </w:tc>
      </w:tr>
      <w:tr w:rsidR="00626FE6" w:rsidRPr="00FA67FD" w:rsidTr="005F554C">
        <w:trPr>
          <w:trHeight w:val="493"/>
        </w:trPr>
        <w:tc>
          <w:tcPr>
            <w:tcW w:w="2548" w:type="dxa"/>
          </w:tcPr>
          <w:p w:rsidR="00EB0D47" w:rsidRPr="00EB0D47" w:rsidRDefault="00EB0D47" w:rsidP="00F42D35">
            <w:pPr>
              <w:rPr>
                <w:b/>
                <w:szCs w:val="24"/>
                <w:lang w:eastAsia="en-US"/>
              </w:rPr>
            </w:pPr>
            <w:r w:rsidRPr="00EB0D47">
              <w:rPr>
                <w:b/>
                <w:szCs w:val="24"/>
                <w:lang w:eastAsia="en-US"/>
              </w:rPr>
              <w:t>Total</w:t>
            </w:r>
          </w:p>
        </w:tc>
        <w:tc>
          <w:tcPr>
            <w:tcW w:w="1866" w:type="dxa"/>
          </w:tcPr>
          <w:p w:rsidR="00EB0D47" w:rsidRPr="00EB0D47" w:rsidRDefault="00EB0D47" w:rsidP="00F42D35">
            <w:pPr>
              <w:jc w:val="right"/>
              <w:rPr>
                <w:b/>
                <w:szCs w:val="24"/>
                <w:lang w:eastAsia="en-US"/>
              </w:rPr>
            </w:pPr>
            <w:r w:rsidRPr="00EB0D47">
              <w:rPr>
                <w:b/>
                <w:szCs w:val="24"/>
                <w:lang w:eastAsia="en-US"/>
              </w:rPr>
              <w:t>54,744</w:t>
            </w:r>
          </w:p>
        </w:tc>
        <w:tc>
          <w:tcPr>
            <w:tcW w:w="2287" w:type="dxa"/>
          </w:tcPr>
          <w:p w:rsidR="00EB0D47" w:rsidRPr="00EB0D47" w:rsidRDefault="00EB0D47" w:rsidP="00F42D35">
            <w:pPr>
              <w:jc w:val="right"/>
              <w:rPr>
                <w:b/>
                <w:szCs w:val="24"/>
                <w:lang w:eastAsia="en-US"/>
              </w:rPr>
            </w:pPr>
            <w:r w:rsidRPr="00EB0D47">
              <w:rPr>
                <w:b/>
                <w:szCs w:val="24"/>
                <w:lang w:eastAsia="en-US"/>
              </w:rPr>
              <w:t>53,895</w:t>
            </w:r>
          </w:p>
        </w:tc>
        <w:tc>
          <w:tcPr>
            <w:tcW w:w="2013" w:type="dxa"/>
          </w:tcPr>
          <w:p w:rsidR="00EB0D47" w:rsidRPr="00EB0D47" w:rsidRDefault="00EB0D47" w:rsidP="00F42D35">
            <w:pPr>
              <w:jc w:val="right"/>
              <w:rPr>
                <w:b/>
                <w:szCs w:val="24"/>
                <w:lang w:eastAsia="en-US"/>
              </w:rPr>
            </w:pPr>
            <w:r w:rsidRPr="00EB0D47">
              <w:rPr>
                <w:b/>
                <w:szCs w:val="24"/>
                <w:lang w:eastAsia="en-US"/>
              </w:rPr>
              <w:t>42,278</w:t>
            </w:r>
          </w:p>
        </w:tc>
        <w:tc>
          <w:tcPr>
            <w:tcW w:w="1870" w:type="dxa"/>
          </w:tcPr>
          <w:p w:rsidR="00EB0D47" w:rsidRPr="00EB0D47" w:rsidRDefault="00EB0D47" w:rsidP="00F42D35">
            <w:pPr>
              <w:jc w:val="right"/>
              <w:rPr>
                <w:b/>
                <w:szCs w:val="24"/>
                <w:lang w:eastAsia="en-US"/>
              </w:rPr>
            </w:pPr>
            <w:r w:rsidRPr="00EB0D47">
              <w:rPr>
                <w:b/>
                <w:szCs w:val="24"/>
                <w:lang w:eastAsia="en-US"/>
              </w:rPr>
              <w:t>150,917</w:t>
            </w:r>
          </w:p>
        </w:tc>
      </w:tr>
      <w:tr w:rsidR="005F554C" w:rsidTr="00332E22">
        <w:tc>
          <w:tcPr>
            <w:tcW w:w="2548" w:type="dxa"/>
          </w:tcPr>
          <w:p w:rsidR="004B3F2D" w:rsidRDefault="004B3F2D" w:rsidP="005F554C">
            <w:pPr>
              <w:rPr>
                <w:b/>
                <w:szCs w:val="24"/>
                <w:lang w:eastAsia="en-US"/>
              </w:rPr>
            </w:pPr>
          </w:p>
          <w:p w:rsidR="005F554C" w:rsidRPr="005F554C" w:rsidRDefault="00626FE6" w:rsidP="005F554C">
            <w:pPr>
              <w:rPr>
                <w:b/>
                <w:sz w:val="20"/>
                <w:lang w:eastAsia="en-US"/>
              </w:rPr>
            </w:pPr>
            <w:r>
              <w:rPr>
                <w:b/>
                <w:szCs w:val="24"/>
                <w:lang w:eastAsia="en-US"/>
              </w:rPr>
              <w:t>At</w:t>
            </w:r>
            <w:r w:rsidR="005F554C" w:rsidRPr="005F554C">
              <w:rPr>
                <w:b/>
                <w:szCs w:val="24"/>
                <w:lang w:eastAsia="en-US"/>
              </w:rPr>
              <w:t xml:space="preserve"> 31 March 201</w:t>
            </w:r>
            <w:r w:rsidR="005F554C">
              <w:rPr>
                <w:b/>
                <w:szCs w:val="24"/>
                <w:lang w:eastAsia="en-US"/>
              </w:rPr>
              <w:t>3</w:t>
            </w:r>
          </w:p>
        </w:tc>
        <w:tc>
          <w:tcPr>
            <w:tcW w:w="1866" w:type="dxa"/>
          </w:tcPr>
          <w:p w:rsidR="005F554C" w:rsidRPr="009D3EF9" w:rsidRDefault="005F554C" w:rsidP="00332E22">
            <w:pPr>
              <w:jc w:val="right"/>
              <w:rPr>
                <w:b/>
                <w:szCs w:val="24"/>
                <w:lang w:eastAsia="en-US"/>
              </w:rPr>
            </w:pPr>
          </w:p>
        </w:tc>
        <w:tc>
          <w:tcPr>
            <w:tcW w:w="2287" w:type="dxa"/>
          </w:tcPr>
          <w:p w:rsidR="005F554C" w:rsidRPr="009D3EF9" w:rsidRDefault="005F554C" w:rsidP="00332E22">
            <w:pPr>
              <w:jc w:val="right"/>
              <w:rPr>
                <w:b/>
                <w:szCs w:val="24"/>
                <w:lang w:eastAsia="en-US"/>
              </w:rPr>
            </w:pPr>
          </w:p>
        </w:tc>
        <w:tc>
          <w:tcPr>
            <w:tcW w:w="2013" w:type="dxa"/>
          </w:tcPr>
          <w:p w:rsidR="005F554C" w:rsidRPr="009D3EF9" w:rsidRDefault="005F554C" w:rsidP="00332E22">
            <w:pPr>
              <w:jc w:val="right"/>
              <w:rPr>
                <w:b/>
                <w:szCs w:val="24"/>
                <w:lang w:eastAsia="en-US"/>
              </w:rPr>
            </w:pPr>
          </w:p>
        </w:tc>
        <w:tc>
          <w:tcPr>
            <w:tcW w:w="1870" w:type="dxa"/>
          </w:tcPr>
          <w:p w:rsidR="005F554C" w:rsidRDefault="005F554C" w:rsidP="00332E22">
            <w:pPr>
              <w:jc w:val="right"/>
              <w:rPr>
                <w:b/>
                <w:szCs w:val="24"/>
                <w:lang w:eastAsia="en-US"/>
              </w:rPr>
            </w:pPr>
          </w:p>
        </w:tc>
      </w:tr>
      <w:tr w:rsidR="005F554C" w:rsidRPr="009D3EF9" w:rsidTr="005F554C">
        <w:trPr>
          <w:trHeight w:val="487"/>
        </w:trPr>
        <w:tc>
          <w:tcPr>
            <w:tcW w:w="2548" w:type="dxa"/>
          </w:tcPr>
          <w:p w:rsidR="005F554C" w:rsidRPr="009D3EF9" w:rsidRDefault="005F554C" w:rsidP="00332E22">
            <w:pPr>
              <w:rPr>
                <w:szCs w:val="24"/>
                <w:lang w:eastAsia="en-US"/>
              </w:rPr>
            </w:pPr>
            <w:r>
              <w:rPr>
                <w:szCs w:val="24"/>
                <w:lang w:eastAsia="en-US"/>
              </w:rPr>
              <w:t>Scheduled bodies</w:t>
            </w:r>
          </w:p>
        </w:tc>
        <w:tc>
          <w:tcPr>
            <w:tcW w:w="1866" w:type="dxa"/>
          </w:tcPr>
          <w:p w:rsidR="005F554C" w:rsidRPr="009D3EF9" w:rsidRDefault="005F554C" w:rsidP="00332E22">
            <w:pPr>
              <w:jc w:val="right"/>
              <w:rPr>
                <w:szCs w:val="24"/>
                <w:lang w:eastAsia="en-US"/>
              </w:rPr>
            </w:pPr>
            <w:r>
              <w:rPr>
                <w:szCs w:val="24"/>
                <w:lang w:eastAsia="en-US"/>
              </w:rPr>
              <w:t>49,369</w:t>
            </w:r>
          </w:p>
        </w:tc>
        <w:tc>
          <w:tcPr>
            <w:tcW w:w="2287" w:type="dxa"/>
          </w:tcPr>
          <w:p w:rsidR="005F554C" w:rsidRPr="009D3EF9" w:rsidRDefault="005F554C" w:rsidP="00332E22">
            <w:pPr>
              <w:jc w:val="right"/>
              <w:rPr>
                <w:szCs w:val="24"/>
                <w:lang w:eastAsia="en-US"/>
              </w:rPr>
            </w:pPr>
            <w:r>
              <w:rPr>
                <w:szCs w:val="24"/>
                <w:lang w:eastAsia="en-US"/>
              </w:rPr>
              <w:t>46,596</w:t>
            </w:r>
          </w:p>
        </w:tc>
        <w:tc>
          <w:tcPr>
            <w:tcW w:w="2013" w:type="dxa"/>
          </w:tcPr>
          <w:p w:rsidR="005F554C" w:rsidRPr="009D3EF9" w:rsidRDefault="005F554C" w:rsidP="00332E22">
            <w:pPr>
              <w:jc w:val="right"/>
              <w:rPr>
                <w:szCs w:val="24"/>
                <w:lang w:eastAsia="en-US"/>
              </w:rPr>
            </w:pPr>
            <w:r>
              <w:rPr>
                <w:szCs w:val="24"/>
                <w:lang w:eastAsia="en-US"/>
              </w:rPr>
              <w:t>38,386</w:t>
            </w:r>
          </w:p>
        </w:tc>
        <w:tc>
          <w:tcPr>
            <w:tcW w:w="1870" w:type="dxa"/>
          </w:tcPr>
          <w:p w:rsidR="005F554C" w:rsidRPr="009D3EF9" w:rsidRDefault="005F554C" w:rsidP="00332E22">
            <w:pPr>
              <w:jc w:val="right"/>
              <w:rPr>
                <w:szCs w:val="24"/>
                <w:lang w:eastAsia="en-US"/>
              </w:rPr>
            </w:pPr>
            <w:r>
              <w:rPr>
                <w:szCs w:val="24"/>
                <w:lang w:eastAsia="en-US"/>
              </w:rPr>
              <w:t>134,351</w:t>
            </w:r>
          </w:p>
        </w:tc>
      </w:tr>
      <w:tr w:rsidR="005F554C" w:rsidRPr="009D3EF9" w:rsidTr="00332E22">
        <w:trPr>
          <w:trHeight w:val="493"/>
        </w:trPr>
        <w:tc>
          <w:tcPr>
            <w:tcW w:w="2548" w:type="dxa"/>
          </w:tcPr>
          <w:p w:rsidR="005F554C" w:rsidRPr="009D3EF9" w:rsidRDefault="005F554C" w:rsidP="00332E22">
            <w:pPr>
              <w:rPr>
                <w:szCs w:val="24"/>
                <w:lang w:eastAsia="en-US"/>
              </w:rPr>
            </w:pPr>
            <w:r>
              <w:rPr>
                <w:szCs w:val="24"/>
                <w:lang w:eastAsia="en-US"/>
              </w:rPr>
              <w:t>Admitted bodies</w:t>
            </w:r>
          </w:p>
        </w:tc>
        <w:tc>
          <w:tcPr>
            <w:tcW w:w="1866" w:type="dxa"/>
          </w:tcPr>
          <w:p w:rsidR="005F554C" w:rsidRPr="009D3EF9" w:rsidRDefault="005F554C" w:rsidP="00332E22">
            <w:pPr>
              <w:jc w:val="right"/>
              <w:rPr>
                <w:szCs w:val="24"/>
                <w:lang w:eastAsia="en-US"/>
              </w:rPr>
            </w:pPr>
            <w:r>
              <w:rPr>
                <w:szCs w:val="24"/>
                <w:lang w:eastAsia="en-US"/>
              </w:rPr>
              <w:t>3,594</w:t>
            </w:r>
          </w:p>
        </w:tc>
        <w:tc>
          <w:tcPr>
            <w:tcW w:w="2287" w:type="dxa"/>
          </w:tcPr>
          <w:p w:rsidR="005F554C" w:rsidRPr="009D3EF9" w:rsidRDefault="005F554C" w:rsidP="00332E22">
            <w:pPr>
              <w:jc w:val="right"/>
              <w:rPr>
                <w:szCs w:val="24"/>
                <w:lang w:eastAsia="en-US"/>
              </w:rPr>
            </w:pPr>
            <w:r>
              <w:rPr>
                <w:szCs w:val="24"/>
                <w:lang w:eastAsia="en-US"/>
              </w:rPr>
              <w:t>3,241</w:t>
            </w:r>
          </w:p>
        </w:tc>
        <w:tc>
          <w:tcPr>
            <w:tcW w:w="2013" w:type="dxa"/>
          </w:tcPr>
          <w:p w:rsidR="005F554C" w:rsidRPr="009D3EF9" w:rsidRDefault="005F554C" w:rsidP="00332E22">
            <w:pPr>
              <w:jc w:val="right"/>
              <w:rPr>
                <w:szCs w:val="24"/>
                <w:lang w:eastAsia="en-US"/>
              </w:rPr>
            </w:pPr>
            <w:r>
              <w:rPr>
                <w:szCs w:val="24"/>
                <w:lang w:eastAsia="en-US"/>
              </w:rPr>
              <w:t>2,499</w:t>
            </w:r>
          </w:p>
        </w:tc>
        <w:tc>
          <w:tcPr>
            <w:tcW w:w="1870" w:type="dxa"/>
          </w:tcPr>
          <w:p w:rsidR="005F554C" w:rsidRPr="009D3EF9" w:rsidRDefault="005F554C" w:rsidP="00332E22">
            <w:pPr>
              <w:jc w:val="right"/>
              <w:rPr>
                <w:szCs w:val="24"/>
                <w:lang w:eastAsia="en-US"/>
              </w:rPr>
            </w:pPr>
            <w:r>
              <w:rPr>
                <w:szCs w:val="24"/>
                <w:lang w:eastAsia="en-US"/>
              </w:rPr>
              <w:t>9,334</w:t>
            </w:r>
          </w:p>
        </w:tc>
      </w:tr>
      <w:tr w:rsidR="003C7B9B" w:rsidRPr="009D3EF9" w:rsidTr="00332E22">
        <w:trPr>
          <w:trHeight w:val="493"/>
        </w:trPr>
        <w:tc>
          <w:tcPr>
            <w:tcW w:w="2548" w:type="dxa"/>
          </w:tcPr>
          <w:p w:rsidR="003C7B9B" w:rsidRPr="003C7B9B" w:rsidRDefault="003C7B9B" w:rsidP="00332E22">
            <w:pPr>
              <w:rPr>
                <w:b/>
                <w:szCs w:val="24"/>
                <w:lang w:eastAsia="en-US"/>
              </w:rPr>
            </w:pPr>
            <w:r w:rsidRPr="003C7B9B">
              <w:rPr>
                <w:b/>
                <w:szCs w:val="24"/>
                <w:lang w:eastAsia="en-US"/>
              </w:rPr>
              <w:t>Total</w:t>
            </w:r>
          </w:p>
        </w:tc>
        <w:tc>
          <w:tcPr>
            <w:tcW w:w="1866" w:type="dxa"/>
          </w:tcPr>
          <w:p w:rsidR="003C7B9B" w:rsidRPr="003C7B9B" w:rsidRDefault="003C7B9B" w:rsidP="00332E22">
            <w:pPr>
              <w:jc w:val="right"/>
              <w:rPr>
                <w:b/>
                <w:szCs w:val="24"/>
                <w:lang w:eastAsia="en-US"/>
              </w:rPr>
            </w:pPr>
            <w:r w:rsidRPr="003C7B9B">
              <w:rPr>
                <w:b/>
                <w:szCs w:val="24"/>
                <w:lang w:eastAsia="en-US"/>
              </w:rPr>
              <w:t>52,963</w:t>
            </w:r>
          </w:p>
        </w:tc>
        <w:tc>
          <w:tcPr>
            <w:tcW w:w="2287" w:type="dxa"/>
          </w:tcPr>
          <w:p w:rsidR="003C7B9B" w:rsidRPr="003C7B9B" w:rsidRDefault="003C7B9B" w:rsidP="00332E22">
            <w:pPr>
              <w:jc w:val="right"/>
              <w:rPr>
                <w:b/>
                <w:szCs w:val="24"/>
                <w:lang w:eastAsia="en-US"/>
              </w:rPr>
            </w:pPr>
            <w:r w:rsidRPr="003C7B9B">
              <w:rPr>
                <w:b/>
                <w:szCs w:val="24"/>
                <w:lang w:eastAsia="en-US"/>
              </w:rPr>
              <w:t>49,837</w:t>
            </w:r>
          </w:p>
        </w:tc>
        <w:tc>
          <w:tcPr>
            <w:tcW w:w="2013" w:type="dxa"/>
          </w:tcPr>
          <w:p w:rsidR="003C7B9B" w:rsidRPr="003C7B9B" w:rsidRDefault="003C7B9B" w:rsidP="00332E22">
            <w:pPr>
              <w:jc w:val="right"/>
              <w:rPr>
                <w:b/>
                <w:szCs w:val="24"/>
                <w:lang w:eastAsia="en-US"/>
              </w:rPr>
            </w:pPr>
            <w:r w:rsidRPr="003C7B9B">
              <w:rPr>
                <w:b/>
                <w:szCs w:val="24"/>
                <w:lang w:eastAsia="en-US"/>
              </w:rPr>
              <w:t>40,885</w:t>
            </w:r>
          </w:p>
        </w:tc>
        <w:tc>
          <w:tcPr>
            <w:tcW w:w="1870" w:type="dxa"/>
          </w:tcPr>
          <w:p w:rsidR="003C7B9B" w:rsidRPr="003C7B9B" w:rsidRDefault="003C7B9B" w:rsidP="00332E22">
            <w:pPr>
              <w:jc w:val="right"/>
              <w:rPr>
                <w:b/>
                <w:szCs w:val="24"/>
                <w:lang w:eastAsia="en-US"/>
              </w:rPr>
            </w:pPr>
            <w:r w:rsidRPr="003C7B9B">
              <w:rPr>
                <w:b/>
                <w:szCs w:val="24"/>
                <w:lang w:eastAsia="en-US"/>
              </w:rPr>
              <w:t>143,685</w:t>
            </w:r>
          </w:p>
        </w:tc>
      </w:tr>
    </w:tbl>
    <w:p w:rsidR="005A68DB" w:rsidRDefault="005A68DB" w:rsidP="004E4388"/>
    <w:p w:rsidR="004E4388" w:rsidRDefault="004E4388" w:rsidP="004E4388">
      <w:r w:rsidRPr="0095309D">
        <w:lastRenderedPageBreak/>
        <w:t>The Pension Fund Committee is required to receive regular repor</w:t>
      </w:r>
      <w:r>
        <w:t>t</w:t>
      </w:r>
      <w:r w:rsidRPr="0095309D">
        <w:t xml:space="preserve">s from the Treasurer to the Fund on the administration of the Fund ensuring that best practice standards are satisfied and met and to satisfy itself and justify to all stakeholders, including </w:t>
      </w:r>
      <w:r>
        <w:t>f</w:t>
      </w:r>
      <w:r w:rsidRPr="0095309D">
        <w:t xml:space="preserve">und </w:t>
      </w:r>
      <w:r>
        <w:t>e</w:t>
      </w:r>
      <w:r w:rsidRPr="0095309D">
        <w:t>mployers</w:t>
      </w:r>
      <w:r>
        <w:t xml:space="preserve"> </w:t>
      </w:r>
      <w:r w:rsidRPr="0095309D">
        <w:t xml:space="preserve">that the Fund is being run on an efficient and effective basis.  A Service Level Agreement (SLA) exists between the Pension Fund and the service provider.  The SLA contains specific service level standards and corresponding service level targets and an </w:t>
      </w:r>
      <w:hyperlink r:id="rId14" w:history="1">
        <w:r w:rsidR="00A816DF">
          <w:rPr>
            <w:rStyle w:val="Hyperlink"/>
          </w:rPr>
          <w:t>Annual Administration Report</w:t>
        </w:r>
      </w:hyperlink>
      <w:r w:rsidRPr="0095309D">
        <w:t xml:space="preserve"> is presented to the Pension Fund Committee.</w:t>
      </w:r>
    </w:p>
    <w:p w:rsidR="004E4388" w:rsidRDefault="004E4388" w:rsidP="004E4388"/>
    <w:p w:rsidR="004B3F2D" w:rsidRDefault="004B3F2D" w:rsidP="004E4388"/>
    <w:p w:rsidR="004E4388" w:rsidRDefault="004E4388" w:rsidP="004E4388">
      <w:pPr>
        <w:pStyle w:val="Header"/>
        <w:rPr>
          <w:b/>
        </w:rPr>
      </w:pPr>
      <w:r w:rsidRPr="0095309D">
        <w:rPr>
          <w:b/>
        </w:rPr>
        <w:t>Performance</w:t>
      </w:r>
    </w:p>
    <w:p w:rsidR="00D90077" w:rsidRPr="0095309D" w:rsidRDefault="00D90077" w:rsidP="004E4388">
      <w:pPr>
        <w:pStyle w:val="Header"/>
        <w:rPr>
          <w:b/>
        </w:rPr>
      </w:pPr>
    </w:p>
    <w:p w:rsidR="004E4388" w:rsidRPr="0095309D" w:rsidRDefault="004E4388" w:rsidP="004E4388">
      <w:pPr>
        <w:pStyle w:val="Header"/>
      </w:pPr>
      <w:r w:rsidRPr="0095309D">
        <w:t>Pension administration services are provide</w:t>
      </w:r>
      <w:r w:rsidR="004947F4">
        <w:t>d</w:t>
      </w:r>
      <w:r w:rsidRPr="0095309D">
        <w:t xml:space="preserve"> to Lancashire County Pension Fund by Your Pension Service (YPS).  The service performance continues to exceed SLA targets and consistently exceeds its key performance indication;</w:t>
      </w:r>
    </w:p>
    <w:p w:rsidR="004E4388" w:rsidRPr="0095309D" w:rsidRDefault="004E4388" w:rsidP="004E4388">
      <w:pPr>
        <w:pStyle w:val="Header"/>
      </w:pPr>
    </w:p>
    <w:p w:rsidR="004E4388" w:rsidRPr="004B3F2D" w:rsidRDefault="004E4388" w:rsidP="004E4388">
      <w:pPr>
        <w:pStyle w:val="Header"/>
        <w:jc w:val="center"/>
        <w:rPr>
          <w:b/>
          <w:i/>
        </w:rPr>
      </w:pPr>
      <w:r w:rsidRPr="004B3F2D">
        <w:rPr>
          <w:b/>
          <w:i/>
        </w:rPr>
        <w:t>'to calculate and pay all retirement benefits within 10 working days'</w:t>
      </w:r>
    </w:p>
    <w:p w:rsidR="004E4388" w:rsidRPr="0095309D" w:rsidRDefault="004E4388" w:rsidP="004E4388">
      <w:pPr>
        <w:pStyle w:val="Header"/>
        <w:jc w:val="center"/>
        <w:rPr>
          <w:i/>
        </w:rPr>
      </w:pPr>
    </w:p>
    <w:p w:rsidR="004E4388" w:rsidRPr="0095309D" w:rsidRDefault="004E4388" w:rsidP="004E4388">
      <w:pPr>
        <w:pStyle w:val="Header"/>
      </w:pPr>
      <w:r w:rsidRPr="0095309D">
        <w:t>Overall achievement against SLA targets over the year was 98%.  The service has experienced an unprecedented increase in workload since November 2013 and the launch of LCC's Budget Challenge.  More than 1,300 voluntary redundancy estimates were processed between November 2013 and March 2014.</w:t>
      </w:r>
    </w:p>
    <w:p w:rsidR="004E4388" w:rsidRPr="0095309D" w:rsidRDefault="004E4388" w:rsidP="004E4388">
      <w:pPr>
        <w:pStyle w:val="Header"/>
      </w:pPr>
    </w:p>
    <w:p w:rsidR="004E4388" w:rsidRDefault="004E4388" w:rsidP="004E4388">
      <w:r w:rsidRPr="0095309D">
        <w:t>Over the year the service produced over 100,000 online benefit statements for active and deferred Scheme members.  Annual newsletters were posted online alongside the</w:t>
      </w:r>
      <w:r>
        <w:t xml:space="preserve"> </w:t>
      </w:r>
      <w:r w:rsidRPr="0095309D">
        <w:t>statements.  E-mail alerts were also sent to Scheme members who had signed up to "My Pension Online" to promote the roadshows and raise awareness of the 2014 scheme changes.</w:t>
      </w:r>
    </w:p>
    <w:p w:rsidR="004E4388" w:rsidRDefault="004E4388" w:rsidP="004E4388"/>
    <w:p w:rsidR="004B3F2D" w:rsidRDefault="004B3F2D" w:rsidP="004E4388"/>
    <w:p w:rsidR="004E4388" w:rsidRDefault="004E4388" w:rsidP="004E4388">
      <w:pPr>
        <w:pStyle w:val="Header"/>
        <w:rPr>
          <w:b/>
        </w:rPr>
      </w:pPr>
      <w:r w:rsidRPr="0095309D">
        <w:rPr>
          <w:b/>
        </w:rPr>
        <w:t>Customer Service</w:t>
      </w:r>
    </w:p>
    <w:p w:rsidR="00D90077" w:rsidRPr="0095309D" w:rsidRDefault="00D90077" w:rsidP="004E4388">
      <w:pPr>
        <w:pStyle w:val="Header"/>
        <w:rPr>
          <w:b/>
        </w:rPr>
      </w:pPr>
    </w:p>
    <w:p w:rsidR="004E4388" w:rsidRPr="0095309D" w:rsidRDefault="004E4388" w:rsidP="004E4388">
      <w:pPr>
        <w:pStyle w:val="Header"/>
      </w:pPr>
      <w:r w:rsidRPr="0095309D">
        <w:t>During the year</w:t>
      </w:r>
      <w:r w:rsidR="004947F4">
        <w:t>,</w:t>
      </w:r>
      <w:r w:rsidRPr="0095309D">
        <w:t xml:space="preserve"> the Services dedicated Partnerships Team undertook a variety of events, courses and presentations.  In addition the team visited a number of employers to maintain and improve working relationships.</w:t>
      </w:r>
    </w:p>
    <w:p w:rsidR="004E4388" w:rsidRDefault="004E4388" w:rsidP="004E4388"/>
    <w:p w:rsidR="004E4388" w:rsidRPr="0095309D" w:rsidRDefault="004E4388" w:rsidP="004E4388">
      <w:pPr>
        <w:pStyle w:val="Header"/>
      </w:pPr>
      <w:r w:rsidRPr="0095309D">
        <w:t>The communication and promotion of the new LGPS2014 was a k</w:t>
      </w:r>
      <w:r w:rsidR="004947F4">
        <w:t>ey priority during the year and</w:t>
      </w:r>
      <w:r w:rsidRPr="0095309D">
        <w:t xml:space="preserve"> as well as hosting roadshows, the team also hosted employer training events with payroll and HR practitioners from employers across Lancashire in attendance.</w:t>
      </w:r>
    </w:p>
    <w:p w:rsidR="004E4388" w:rsidRDefault="004E4388" w:rsidP="004E4388"/>
    <w:p w:rsidR="004E4388" w:rsidRPr="0095309D" w:rsidRDefault="004E4388" w:rsidP="004E4388">
      <w:pPr>
        <w:pStyle w:val="Header"/>
      </w:pPr>
      <w:r w:rsidRPr="0095309D">
        <w:t>The service's annual employer conference was held in November.  The event showcased new ways of working with employers and the monthly submission of data via the new employer portal; E</w:t>
      </w:r>
      <w:r w:rsidR="00196337">
        <w:t>P</w:t>
      </w:r>
      <w:r w:rsidRPr="0095309D">
        <w:t>IC.</w:t>
      </w:r>
    </w:p>
    <w:p w:rsidR="004E4388" w:rsidRPr="0095309D" w:rsidRDefault="004E4388" w:rsidP="004E4388">
      <w:pPr>
        <w:pStyle w:val="Header"/>
      </w:pPr>
    </w:p>
    <w:p w:rsidR="004E4388" w:rsidRPr="0095309D" w:rsidRDefault="004E4388" w:rsidP="004E4388">
      <w:pPr>
        <w:pStyle w:val="Header"/>
      </w:pPr>
      <w:r w:rsidRPr="0095309D">
        <w:t>The annual Director's Brief for Chief Finance Officers was held in December.  The Fund Actuary attended to report the initial results of the 2013 triennial valuation and the briefing was followed up with one to one surgeries for employers to discuss the financial impact of the results upon their organisation.</w:t>
      </w:r>
    </w:p>
    <w:p w:rsidR="004E4388" w:rsidRPr="0095309D" w:rsidRDefault="004E4388" w:rsidP="004E4388">
      <w:pPr>
        <w:pStyle w:val="Header"/>
      </w:pPr>
    </w:p>
    <w:p w:rsidR="00C37D85" w:rsidRDefault="00C37D85" w:rsidP="004E4388">
      <w:pPr>
        <w:pStyle w:val="Header"/>
      </w:pPr>
    </w:p>
    <w:p w:rsidR="004E4388" w:rsidRDefault="004E4388" w:rsidP="004E4388">
      <w:pPr>
        <w:pStyle w:val="Header"/>
      </w:pPr>
      <w:r w:rsidRPr="0095309D">
        <w:t xml:space="preserve">A dedicated pension's helpdesk is the first point of contact for members and employers.  Over the year 90% of calls were successfully answered, meeting the SLA target.  </w:t>
      </w:r>
    </w:p>
    <w:p w:rsidR="004E4388" w:rsidRDefault="004E4388" w:rsidP="004E4388"/>
    <w:p w:rsidR="004B3F2D" w:rsidRDefault="004B3F2D" w:rsidP="004E4388"/>
    <w:p w:rsidR="004E4388" w:rsidRDefault="004E4388" w:rsidP="004E4388">
      <w:pPr>
        <w:pStyle w:val="Header"/>
        <w:rPr>
          <w:b/>
        </w:rPr>
      </w:pPr>
      <w:r w:rsidRPr="0095309D">
        <w:rPr>
          <w:b/>
        </w:rPr>
        <w:lastRenderedPageBreak/>
        <w:t>Legislative Changes</w:t>
      </w:r>
    </w:p>
    <w:p w:rsidR="00D90077" w:rsidRPr="0095309D" w:rsidRDefault="00D90077" w:rsidP="004E4388">
      <w:pPr>
        <w:pStyle w:val="Header"/>
        <w:rPr>
          <w:b/>
        </w:rPr>
      </w:pPr>
    </w:p>
    <w:p w:rsidR="004E4388" w:rsidRPr="0095309D" w:rsidRDefault="004E4388" w:rsidP="004E4388">
      <w:pPr>
        <w:pStyle w:val="Header"/>
      </w:pPr>
      <w:r w:rsidRPr="0095309D">
        <w:t>During the year significant legislative change encompassed the introduction of the new Local Government Pension Scheme with effect from 1 April 2014.</w:t>
      </w:r>
    </w:p>
    <w:p w:rsidR="004E4388" w:rsidRPr="0095309D" w:rsidRDefault="004E4388" w:rsidP="004E4388">
      <w:pPr>
        <w:pStyle w:val="Header"/>
      </w:pPr>
    </w:p>
    <w:p w:rsidR="004E4388" w:rsidRPr="0095309D" w:rsidRDefault="004E4388" w:rsidP="004E4388">
      <w:pPr>
        <w:pStyle w:val="Header"/>
      </w:pPr>
      <w:r w:rsidRPr="0095309D">
        <w:t>The Public Service Pensions Act received royal assent on 25</w:t>
      </w:r>
      <w:r w:rsidRPr="0095309D">
        <w:rPr>
          <w:vertAlign w:val="superscript"/>
        </w:rPr>
        <w:t xml:space="preserve"> </w:t>
      </w:r>
      <w:r w:rsidRPr="0095309D">
        <w:t>April 2013 setting out the new legal framework for public service pension schemes, including the LGPS.  The Act reflects the recommendations made by the Independent Public Service Pension Commission chaired by Lord Hutton.</w:t>
      </w:r>
    </w:p>
    <w:p w:rsidR="004E4388" w:rsidRPr="0095309D" w:rsidRDefault="004E4388" w:rsidP="004E4388">
      <w:pPr>
        <w:pStyle w:val="Header"/>
      </w:pPr>
    </w:p>
    <w:p w:rsidR="004E4388" w:rsidRPr="0095309D" w:rsidRDefault="004E4388" w:rsidP="004E4388">
      <w:pPr>
        <w:pStyle w:val="Header"/>
      </w:pPr>
      <w:r w:rsidRPr="0095309D">
        <w:t>After completing a statutory consultation in August 2013, legislation outlining the LGPS rules from 1 April 2014 was made to provide:</w:t>
      </w:r>
    </w:p>
    <w:p w:rsidR="004E4388" w:rsidRPr="0095309D" w:rsidRDefault="004E4388" w:rsidP="004E4388">
      <w:pPr>
        <w:pStyle w:val="Header"/>
      </w:pPr>
    </w:p>
    <w:p w:rsidR="004E4388" w:rsidRPr="0095309D" w:rsidRDefault="004E4388" w:rsidP="004E4388">
      <w:pPr>
        <w:pStyle w:val="Header"/>
        <w:numPr>
          <w:ilvl w:val="0"/>
          <w:numId w:val="23"/>
        </w:numPr>
      </w:pPr>
      <w:r w:rsidRPr="0095309D">
        <w:t>a pension scheme design based on career average pay</w:t>
      </w:r>
    </w:p>
    <w:p w:rsidR="004E4388" w:rsidRPr="0095309D" w:rsidRDefault="004E4388" w:rsidP="004E4388">
      <w:pPr>
        <w:pStyle w:val="Header"/>
        <w:numPr>
          <w:ilvl w:val="0"/>
          <w:numId w:val="23"/>
        </w:numPr>
      </w:pPr>
      <w:r w:rsidRPr="0095309D">
        <w:t>an accrual rate of 1/49</w:t>
      </w:r>
      <w:r w:rsidRPr="0095309D">
        <w:rPr>
          <w:vertAlign w:val="superscript"/>
        </w:rPr>
        <w:t>th</w:t>
      </w:r>
      <w:r w:rsidRPr="0095309D">
        <w:t xml:space="preserve"> of pensionable pay</w:t>
      </w:r>
    </w:p>
    <w:p w:rsidR="004E4388" w:rsidRPr="0095309D" w:rsidRDefault="004E4388" w:rsidP="004E4388">
      <w:pPr>
        <w:pStyle w:val="Header"/>
        <w:numPr>
          <w:ilvl w:val="0"/>
          <w:numId w:val="23"/>
        </w:numPr>
      </w:pPr>
      <w:r w:rsidRPr="0095309D">
        <w:t>revaluation of benefits in line with CPI</w:t>
      </w:r>
    </w:p>
    <w:p w:rsidR="004E4388" w:rsidRPr="0095309D" w:rsidRDefault="004E4388" w:rsidP="004E4388">
      <w:pPr>
        <w:pStyle w:val="Header"/>
        <w:numPr>
          <w:ilvl w:val="0"/>
          <w:numId w:val="23"/>
        </w:numPr>
      </w:pPr>
      <w:r w:rsidRPr="0095309D">
        <w:t>a Normal Pension Age equal to State Pension Age</w:t>
      </w:r>
    </w:p>
    <w:p w:rsidR="004E4388" w:rsidRPr="0095309D" w:rsidRDefault="004E4388" w:rsidP="004E4388">
      <w:pPr>
        <w:pStyle w:val="Header"/>
        <w:numPr>
          <w:ilvl w:val="0"/>
          <w:numId w:val="23"/>
        </w:numPr>
      </w:pPr>
      <w:r w:rsidRPr="0095309D">
        <w:t>an average contribution rate of 6.5%</w:t>
      </w:r>
    </w:p>
    <w:p w:rsidR="004E4388" w:rsidRPr="0095309D" w:rsidRDefault="004E4388" w:rsidP="004E4388">
      <w:pPr>
        <w:pStyle w:val="Header"/>
        <w:numPr>
          <w:ilvl w:val="0"/>
          <w:numId w:val="23"/>
        </w:numPr>
      </w:pPr>
      <w:r w:rsidRPr="0095309D">
        <w:t>a new low cost 50/50 option where half the contribution rate can be paid in return for half the benefits</w:t>
      </w:r>
    </w:p>
    <w:p w:rsidR="004E4388" w:rsidRPr="0095309D" w:rsidRDefault="004E4388" w:rsidP="004E4388">
      <w:pPr>
        <w:pStyle w:val="Header"/>
        <w:numPr>
          <w:ilvl w:val="0"/>
          <w:numId w:val="23"/>
        </w:numPr>
      </w:pPr>
      <w:r w:rsidRPr="0095309D">
        <w:t>a vesting period of 2 year</w:t>
      </w:r>
    </w:p>
    <w:p w:rsidR="004E4388" w:rsidRPr="0095309D" w:rsidRDefault="004E4388" w:rsidP="004E4388">
      <w:pPr>
        <w:pStyle w:val="Header"/>
      </w:pPr>
    </w:p>
    <w:p w:rsidR="004E4388" w:rsidRDefault="004E4388" w:rsidP="004E4388">
      <w:pPr>
        <w:pStyle w:val="Header"/>
      </w:pPr>
      <w:r w:rsidRPr="0095309D">
        <w:t>Later in the year legislation was passed to remove access to the Scheme for new councillors from 1 April 2014.  Existing councillor members as at 31 March 2014 will leave the scheme at the end of their current fixed term of office.</w:t>
      </w:r>
    </w:p>
    <w:p w:rsidR="004E4388" w:rsidRDefault="004E4388" w:rsidP="004E4388"/>
    <w:p w:rsidR="004B3F2D" w:rsidRDefault="004B3F2D" w:rsidP="004E4388"/>
    <w:p w:rsidR="004E4388" w:rsidRDefault="004E4388" w:rsidP="004E4388">
      <w:pPr>
        <w:pStyle w:val="Header"/>
        <w:rPr>
          <w:b/>
        </w:rPr>
      </w:pPr>
      <w:r>
        <w:rPr>
          <w:b/>
        </w:rPr>
        <w:t>Auto enrolment</w:t>
      </w:r>
    </w:p>
    <w:p w:rsidR="004E4388" w:rsidRDefault="004E4388" w:rsidP="004E4388">
      <w:pPr>
        <w:pStyle w:val="Header"/>
        <w:rPr>
          <w:b/>
        </w:rPr>
      </w:pPr>
    </w:p>
    <w:p w:rsidR="004E4388" w:rsidRDefault="004E4388" w:rsidP="004E4388">
      <w:pPr>
        <w:pStyle w:val="Header"/>
      </w:pPr>
      <w:r>
        <w:t xml:space="preserve">Following the changes to the law on workplace pensions, all employers are now legally required to automatically enrol certain staff into a pension scheme and make contributions.  Employers have varying staging dates up to the final staging date of April 2017. </w:t>
      </w:r>
    </w:p>
    <w:p w:rsidR="004E4388" w:rsidRDefault="004E4388" w:rsidP="004E4388">
      <w:pPr>
        <w:pStyle w:val="Header"/>
        <w:rPr>
          <w:b/>
        </w:rPr>
      </w:pPr>
    </w:p>
    <w:p w:rsidR="004E4388" w:rsidRDefault="004E4388" w:rsidP="004E4388">
      <w:pPr>
        <w:pStyle w:val="Header"/>
      </w:pPr>
      <w:r>
        <w:t xml:space="preserve">In order to support member organisations, the Your Pension Service website was updated to include a dedicated page in the </w:t>
      </w:r>
      <w:r w:rsidR="004534A9">
        <w:t>employer's</w:t>
      </w:r>
      <w:r>
        <w:t xml:space="preserve"> area, with guides and links to useful information regarding auto enrolment.</w:t>
      </w:r>
    </w:p>
    <w:p w:rsidR="004E4388" w:rsidRDefault="004E4388" w:rsidP="004E4388">
      <w:pPr>
        <w:pStyle w:val="Header"/>
      </w:pPr>
    </w:p>
    <w:p w:rsidR="004E4388" w:rsidRDefault="004E4388" w:rsidP="004E4388">
      <w:r>
        <w:t>Employers were encouraged to ask questions and seek guidance from the service and auto enrolment was included as an agenda item for the annual employer visits.</w:t>
      </w:r>
    </w:p>
    <w:p w:rsidR="004E4388" w:rsidRDefault="004E4388" w:rsidP="004E4388">
      <w:pPr>
        <w:pStyle w:val="Header"/>
      </w:pPr>
    </w:p>
    <w:p w:rsidR="004E4388" w:rsidRDefault="004E4388" w:rsidP="004E4388">
      <w:pPr>
        <w:pStyle w:val="Header"/>
        <w:rPr>
          <w:rFonts w:ascii="Calibri" w:hAnsi="Calibri"/>
          <w:sz w:val="22"/>
        </w:rPr>
      </w:pPr>
      <w:r>
        <w:t>Lancashire County Council were the first employer within the Fund to stage auto enrolment.</w:t>
      </w:r>
    </w:p>
    <w:p w:rsidR="004E4388" w:rsidRDefault="004E4388" w:rsidP="004E4388">
      <w:r>
        <w:t> </w:t>
      </w:r>
    </w:p>
    <w:p w:rsidR="004E4388" w:rsidRDefault="004E4388" w:rsidP="004E4388">
      <w:r>
        <w:t>The following targets were set to measure the success of the Lancashire County Council campaign:</w:t>
      </w:r>
    </w:p>
    <w:p w:rsidR="004E4388" w:rsidRDefault="004E4388" w:rsidP="004E4388"/>
    <w:p w:rsidR="004E4388" w:rsidRDefault="004E4388" w:rsidP="004E4388">
      <w:pPr>
        <w:pStyle w:val="ListParagraph"/>
        <w:numPr>
          <w:ilvl w:val="0"/>
          <w:numId w:val="38"/>
        </w:numPr>
      </w:pPr>
      <w:r>
        <w:t>To increase the number of LCC employees in the LCPF by 5%</w:t>
      </w:r>
    </w:p>
    <w:p w:rsidR="004E4388" w:rsidRPr="00D119BB" w:rsidRDefault="004E4388" w:rsidP="004E4388">
      <w:pPr>
        <w:pStyle w:val="ListParagraph"/>
        <w:numPr>
          <w:ilvl w:val="0"/>
          <w:numId w:val="38"/>
        </w:numPr>
        <w:rPr>
          <w:rFonts w:cs="Arial"/>
        </w:rPr>
      </w:pPr>
      <w:r>
        <w:t>To achieve an opt out rate of less than 50%</w:t>
      </w:r>
    </w:p>
    <w:p w:rsidR="004E4388" w:rsidRDefault="004E4388" w:rsidP="004E4388">
      <w:pPr>
        <w:rPr>
          <w:rFonts w:cs="Arial"/>
        </w:rPr>
      </w:pPr>
    </w:p>
    <w:p w:rsidR="004E4388" w:rsidRDefault="004E4388" w:rsidP="004E4388">
      <w:pPr>
        <w:rPr>
          <w:rFonts w:cs="Arial"/>
          <w:szCs w:val="24"/>
          <w:u w:val="single"/>
        </w:rPr>
      </w:pPr>
      <w:r>
        <w:rPr>
          <w:rFonts w:cs="Arial"/>
        </w:rPr>
        <w:t>The campaign resulted in an increase in LCC membership due to auto enrolment of 7% and an indicated opt out rate of 37%, thus exceeding both targets.</w:t>
      </w:r>
      <w:r w:rsidR="00480191">
        <w:rPr>
          <w:rFonts w:cs="Arial"/>
        </w:rPr>
        <w:t xml:space="preserve">  This work is being replicated with other employers on request.</w:t>
      </w:r>
    </w:p>
    <w:p w:rsidR="004E4388" w:rsidRDefault="004E4388" w:rsidP="004E4388"/>
    <w:p w:rsidR="004E4388" w:rsidRPr="0095309D" w:rsidRDefault="004E4388" w:rsidP="004E4388">
      <w:pPr>
        <w:pStyle w:val="Header"/>
        <w:rPr>
          <w:b/>
        </w:rPr>
      </w:pPr>
      <w:r w:rsidRPr="0095309D">
        <w:rPr>
          <w:b/>
        </w:rPr>
        <w:t>Service developments</w:t>
      </w:r>
    </w:p>
    <w:p w:rsidR="004E4388" w:rsidRPr="0095309D" w:rsidRDefault="004E4388" w:rsidP="004E4388">
      <w:pPr>
        <w:pStyle w:val="Header"/>
        <w:rPr>
          <w:b/>
        </w:rPr>
      </w:pPr>
    </w:p>
    <w:p w:rsidR="004E4388" w:rsidRPr="0095309D" w:rsidRDefault="004E4388" w:rsidP="004E4388">
      <w:pPr>
        <w:pStyle w:val="Header"/>
      </w:pPr>
      <w:r w:rsidRPr="0095309D">
        <w:t>Employer Services is an online tool, launched in December 2013, to allow employers to access their own employee's records.  It enables them to check personal and financial data, and run benefit estimates without the need to contact Your Pension Service.</w:t>
      </w:r>
    </w:p>
    <w:p w:rsidR="004E4388" w:rsidRPr="0095309D" w:rsidRDefault="004E4388" w:rsidP="004E4388">
      <w:pPr>
        <w:pStyle w:val="Header"/>
        <w:rPr>
          <w:b/>
        </w:rPr>
      </w:pPr>
    </w:p>
    <w:p w:rsidR="004E4388" w:rsidRPr="0095309D" w:rsidRDefault="004E4388" w:rsidP="004E4388">
      <w:pPr>
        <w:pStyle w:val="Header"/>
      </w:pPr>
      <w:r w:rsidRPr="0095309D">
        <w:t>Your Pension Service has worked closely with BT Lancashire Services to develop a solution to meet the additional demands of the LGPS2014.</w:t>
      </w:r>
    </w:p>
    <w:p w:rsidR="004E4388" w:rsidRDefault="004E4388" w:rsidP="004E4388"/>
    <w:p w:rsidR="004E4388" w:rsidRPr="0095309D" w:rsidRDefault="004E4388" w:rsidP="004E4388">
      <w:pPr>
        <w:pStyle w:val="Header"/>
      </w:pPr>
      <w:r w:rsidRPr="0095309D">
        <w:t>A new Employer Information Collection system ("E</w:t>
      </w:r>
      <w:r w:rsidR="00196337">
        <w:t>P</w:t>
      </w:r>
      <w:r w:rsidRPr="0095309D">
        <w:t>IC") has been developed to ta</w:t>
      </w:r>
      <w:r w:rsidR="00480191">
        <w:t xml:space="preserve">ke data securely from employers, with the aim of meeting the requirement for </w:t>
      </w:r>
      <w:r w:rsidR="00602350">
        <w:t xml:space="preserve">more </w:t>
      </w:r>
      <w:r w:rsidR="00480191">
        <w:t>regular data collection more easily and cost effectively.</w:t>
      </w:r>
    </w:p>
    <w:p w:rsidR="004E4388" w:rsidRDefault="004E4388" w:rsidP="004E4388"/>
    <w:p w:rsidR="004B3F2D" w:rsidRDefault="004B3F2D" w:rsidP="004E4388"/>
    <w:p w:rsidR="004E4388" w:rsidRDefault="004E4388" w:rsidP="004E4388">
      <w:pPr>
        <w:pStyle w:val="Header"/>
        <w:rPr>
          <w:b/>
        </w:rPr>
      </w:pPr>
      <w:r w:rsidRPr="0095309D">
        <w:rPr>
          <w:b/>
        </w:rPr>
        <w:t>Charges</w:t>
      </w:r>
    </w:p>
    <w:p w:rsidR="00C0494B" w:rsidRPr="0095309D" w:rsidRDefault="00C0494B" w:rsidP="004E4388">
      <w:pPr>
        <w:pStyle w:val="Header"/>
        <w:rPr>
          <w:b/>
        </w:rPr>
      </w:pPr>
    </w:p>
    <w:p w:rsidR="004E4388" w:rsidRDefault="004E4388" w:rsidP="004E4388">
      <w:r w:rsidRPr="0095309D">
        <w:t>Your Pension Service makes a charge to the Pension Fund on a per member basis which is restricted to the lower quartile as reported</w:t>
      </w:r>
      <w:r>
        <w:t xml:space="preserve"> </w:t>
      </w:r>
      <w:r w:rsidRPr="0095309D">
        <w:t xml:space="preserve">in national benchmarking returns.  This charge is currently set at £21.50 per member against a benchmark of £23.00.  </w:t>
      </w:r>
    </w:p>
    <w:p w:rsidR="004E4388" w:rsidRDefault="004E4388" w:rsidP="004E4388"/>
    <w:p w:rsidR="004B3F2D" w:rsidRDefault="004B3F2D" w:rsidP="004E4388"/>
    <w:p w:rsidR="004E4388" w:rsidRPr="0095309D" w:rsidRDefault="004E4388" w:rsidP="004E4388">
      <w:pPr>
        <w:autoSpaceDE w:val="0"/>
        <w:autoSpaceDN w:val="0"/>
        <w:adjustRightInd w:val="0"/>
        <w:jc w:val="both"/>
        <w:rPr>
          <w:rFonts w:cs="Arial"/>
          <w:b/>
          <w:color w:val="000000"/>
          <w:szCs w:val="24"/>
        </w:rPr>
      </w:pPr>
      <w:r w:rsidRPr="0095309D">
        <w:rPr>
          <w:rFonts w:cs="Arial"/>
          <w:b/>
          <w:color w:val="000000"/>
          <w:szCs w:val="24"/>
        </w:rPr>
        <w:t>Other information</w:t>
      </w:r>
    </w:p>
    <w:p w:rsidR="004E4388" w:rsidRPr="0095309D" w:rsidRDefault="004E4388" w:rsidP="004E4388">
      <w:pPr>
        <w:autoSpaceDE w:val="0"/>
        <w:autoSpaceDN w:val="0"/>
        <w:adjustRightInd w:val="0"/>
        <w:jc w:val="both"/>
        <w:rPr>
          <w:rFonts w:cs="Arial"/>
          <w:b/>
          <w:color w:val="000000"/>
          <w:szCs w:val="24"/>
        </w:rPr>
      </w:pPr>
    </w:p>
    <w:p w:rsidR="004E4388" w:rsidRPr="0095309D" w:rsidRDefault="004E4388" w:rsidP="004E4388">
      <w:pPr>
        <w:autoSpaceDE w:val="0"/>
        <w:autoSpaceDN w:val="0"/>
        <w:adjustRightInd w:val="0"/>
        <w:jc w:val="both"/>
        <w:rPr>
          <w:rFonts w:cs="Arial"/>
          <w:color w:val="000000"/>
        </w:rPr>
      </w:pPr>
      <w:r>
        <w:rPr>
          <w:rFonts w:cs="Arial"/>
          <w:color w:val="000000"/>
        </w:rPr>
        <w:t xml:space="preserve">For further information relating to the administration of the Scheme please refer to the </w:t>
      </w:r>
      <w:hyperlink r:id="rId15" w:history="1">
        <w:r w:rsidRPr="0095309D">
          <w:rPr>
            <w:rStyle w:val="Hyperlink"/>
            <w:rFonts w:cs="Arial"/>
          </w:rPr>
          <w:t>Communication Policy Statement</w:t>
        </w:r>
      </w:hyperlink>
      <w:r w:rsidRPr="0095309D">
        <w:rPr>
          <w:rFonts w:cs="Arial"/>
          <w:color w:val="000000"/>
        </w:rPr>
        <w:t xml:space="preserve"> and the </w:t>
      </w:r>
      <w:hyperlink r:id="rId16" w:history="1">
        <w:r w:rsidRPr="0095309D">
          <w:rPr>
            <w:rStyle w:val="Hyperlink"/>
            <w:rFonts w:cs="Arial"/>
          </w:rPr>
          <w:t>Pensions Administration Strategy Statement</w:t>
        </w:r>
      </w:hyperlink>
      <w:r w:rsidRPr="0095309D">
        <w:rPr>
          <w:rFonts w:cs="Arial"/>
          <w:color w:val="000000"/>
        </w:rPr>
        <w:t xml:space="preserve">.  </w:t>
      </w:r>
    </w:p>
    <w:p w:rsidR="004E4388" w:rsidRDefault="004E4388" w:rsidP="004E4388"/>
    <w:p w:rsidR="004E4388" w:rsidRPr="0095309D" w:rsidRDefault="004E4388" w:rsidP="004E4388">
      <w:pPr>
        <w:pStyle w:val="BodyTextIndent"/>
        <w:ind w:left="0"/>
        <w:jc w:val="left"/>
        <w:rPr>
          <w:rFonts w:cs="Arial"/>
          <w:color w:val="000000"/>
        </w:rPr>
      </w:pPr>
      <w:r w:rsidRPr="0095309D">
        <w:rPr>
          <w:rFonts w:cs="Arial"/>
          <w:color w:val="000000"/>
        </w:rPr>
        <w:t>Your Pension Service can be contacted at:</w:t>
      </w:r>
    </w:p>
    <w:p w:rsidR="004E4388" w:rsidRPr="0095309D" w:rsidRDefault="004E4388" w:rsidP="004E4388">
      <w:pPr>
        <w:autoSpaceDE w:val="0"/>
        <w:autoSpaceDN w:val="0"/>
        <w:adjustRightInd w:val="0"/>
        <w:rPr>
          <w:rFonts w:cs="Arial"/>
          <w:bCs/>
          <w:color w:val="000000"/>
        </w:rPr>
      </w:pPr>
      <w:r w:rsidRPr="0095309D">
        <w:rPr>
          <w:rFonts w:cs="Arial"/>
          <w:bCs/>
          <w:color w:val="000000"/>
        </w:rPr>
        <w:t xml:space="preserve">PO Box 100 </w:t>
      </w:r>
    </w:p>
    <w:p w:rsidR="004E4388" w:rsidRPr="0095309D" w:rsidRDefault="004E4388" w:rsidP="004E4388">
      <w:pPr>
        <w:autoSpaceDE w:val="0"/>
        <w:autoSpaceDN w:val="0"/>
        <w:adjustRightInd w:val="0"/>
        <w:rPr>
          <w:rFonts w:cs="Arial"/>
          <w:bCs/>
          <w:color w:val="000000"/>
        </w:rPr>
      </w:pPr>
      <w:r w:rsidRPr="0095309D">
        <w:rPr>
          <w:rFonts w:cs="Arial"/>
          <w:bCs/>
          <w:color w:val="000000"/>
        </w:rPr>
        <w:t xml:space="preserve">County Hall </w:t>
      </w:r>
    </w:p>
    <w:p w:rsidR="004E4388" w:rsidRPr="0095309D" w:rsidRDefault="004E4388" w:rsidP="004E4388">
      <w:pPr>
        <w:autoSpaceDE w:val="0"/>
        <w:autoSpaceDN w:val="0"/>
        <w:adjustRightInd w:val="0"/>
        <w:rPr>
          <w:rFonts w:cs="Arial"/>
          <w:bCs/>
          <w:color w:val="000000"/>
        </w:rPr>
      </w:pPr>
      <w:r w:rsidRPr="0095309D">
        <w:rPr>
          <w:rFonts w:cs="Arial"/>
          <w:bCs/>
          <w:color w:val="000000"/>
        </w:rPr>
        <w:t xml:space="preserve">Preston </w:t>
      </w:r>
    </w:p>
    <w:p w:rsidR="004E4388" w:rsidRPr="0095309D" w:rsidRDefault="004E4388" w:rsidP="004E4388">
      <w:pPr>
        <w:autoSpaceDE w:val="0"/>
        <w:autoSpaceDN w:val="0"/>
        <w:adjustRightInd w:val="0"/>
        <w:rPr>
          <w:rFonts w:cs="Arial"/>
          <w:bCs/>
          <w:color w:val="000000"/>
        </w:rPr>
      </w:pPr>
      <w:r w:rsidRPr="0095309D">
        <w:rPr>
          <w:rFonts w:cs="Arial"/>
          <w:bCs/>
          <w:color w:val="000000"/>
        </w:rPr>
        <w:t>PR1 0LD</w:t>
      </w:r>
    </w:p>
    <w:p w:rsidR="004E4388" w:rsidRPr="0095309D" w:rsidRDefault="004E4388" w:rsidP="004E4388">
      <w:pPr>
        <w:autoSpaceDE w:val="0"/>
        <w:autoSpaceDN w:val="0"/>
        <w:adjustRightInd w:val="0"/>
        <w:rPr>
          <w:rFonts w:cs="Arial"/>
          <w:bCs/>
          <w:color w:val="000000"/>
        </w:rPr>
      </w:pPr>
      <w:r w:rsidRPr="0095309D">
        <w:rPr>
          <w:rFonts w:cs="Arial"/>
          <w:bCs/>
          <w:color w:val="000000"/>
        </w:rPr>
        <w:t>Telephone:  01772 530530</w:t>
      </w:r>
    </w:p>
    <w:p w:rsidR="004E4388" w:rsidRPr="0095309D" w:rsidRDefault="004E4388" w:rsidP="004E4388">
      <w:pPr>
        <w:autoSpaceDE w:val="0"/>
        <w:autoSpaceDN w:val="0"/>
        <w:adjustRightInd w:val="0"/>
        <w:rPr>
          <w:rFonts w:cs="Arial"/>
          <w:bCs/>
          <w:color w:val="000000"/>
        </w:rPr>
      </w:pPr>
    </w:p>
    <w:p w:rsidR="004E4388" w:rsidRPr="0095309D" w:rsidRDefault="004E4388" w:rsidP="004E4388">
      <w:pPr>
        <w:autoSpaceDE w:val="0"/>
        <w:autoSpaceDN w:val="0"/>
        <w:adjustRightInd w:val="0"/>
        <w:rPr>
          <w:rFonts w:cs="Arial"/>
          <w:bCs/>
          <w:color w:val="000000"/>
        </w:rPr>
      </w:pPr>
      <w:r w:rsidRPr="0095309D">
        <w:rPr>
          <w:rFonts w:cs="Arial"/>
          <w:bCs/>
          <w:color w:val="000000"/>
        </w:rPr>
        <w:t>E-mail: AskPensions@lancashire.gov.uk</w:t>
      </w:r>
    </w:p>
    <w:p w:rsidR="00E31FB3" w:rsidRDefault="007C3032" w:rsidP="004E4388">
      <w:pPr>
        <w:pStyle w:val="Heading1"/>
        <w:spacing w:before="0" w:after="0"/>
        <w:rPr>
          <w:rStyle w:val="Hyperlink"/>
        </w:rPr>
      </w:pPr>
      <w:hyperlink r:id="rId17" w:history="1">
        <w:r w:rsidR="004E4388" w:rsidRPr="0095309D">
          <w:rPr>
            <w:rStyle w:val="Hyperlink"/>
          </w:rPr>
          <w:t>http://www.yourpensionservice.org.uk</w:t>
        </w:r>
      </w:hyperlink>
    </w:p>
    <w:p w:rsidR="004E4388" w:rsidRDefault="004E4388" w:rsidP="004E4388">
      <w:pPr>
        <w:rPr>
          <w:highlight w:val="yellow"/>
        </w:rPr>
      </w:pPr>
    </w:p>
    <w:p w:rsidR="004E4388" w:rsidRDefault="004E4388" w:rsidP="004E4388">
      <w:pPr>
        <w:rPr>
          <w:highlight w:val="yellow"/>
        </w:rPr>
      </w:pPr>
    </w:p>
    <w:p w:rsidR="004E4388" w:rsidRDefault="004E4388" w:rsidP="004E4388">
      <w:pPr>
        <w:rPr>
          <w:highlight w:val="yellow"/>
        </w:rPr>
      </w:pPr>
    </w:p>
    <w:p w:rsidR="00C37D85" w:rsidRDefault="00C37D85" w:rsidP="004E4388">
      <w:pPr>
        <w:rPr>
          <w:highlight w:val="yellow"/>
        </w:rPr>
      </w:pPr>
    </w:p>
    <w:p w:rsidR="00675DC0" w:rsidRDefault="00675DC0" w:rsidP="004E4388">
      <w:pPr>
        <w:rPr>
          <w:highlight w:val="yellow"/>
        </w:rPr>
      </w:pPr>
    </w:p>
    <w:p w:rsidR="00675DC0" w:rsidRDefault="00675DC0" w:rsidP="004E4388">
      <w:pPr>
        <w:rPr>
          <w:highlight w:val="yellow"/>
        </w:rPr>
      </w:pPr>
    </w:p>
    <w:p w:rsidR="00675DC0" w:rsidRDefault="00675DC0" w:rsidP="004E4388">
      <w:pPr>
        <w:rPr>
          <w:highlight w:val="yellow"/>
        </w:rPr>
      </w:pPr>
    </w:p>
    <w:p w:rsidR="00675DC0" w:rsidRDefault="00675DC0" w:rsidP="004E4388">
      <w:pPr>
        <w:rPr>
          <w:highlight w:val="yellow"/>
        </w:rPr>
      </w:pPr>
    </w:p>
    <w:p w:rsidR="0053604B" w:rsidRDefault="0053604B" w:rsidP="004E4388">
      <w:pPr>
        <w:rPr>
          <w:highlight w:val="yellow"/>
        </w:rPr>
      </w:pPr>
    </w:p>
    <w:p w:rsidR="0053604B" w:rsidRDefault="0053604B" w:rsidP="004E4388">
      <w:pPr>
        <w:rPr>
          <w:highlight w:val="yellow"/>
        </w:rPr>
      </w:pPr>
    </w:p>
    <w:p w:rsidR="004B3F2D" w:rsidRDefault="004B3F2D" w:rsidP="004E4388">
      <w:pPr>
        <w:rPr>
          <w:highlight w:val="yellow"/>
        </w:rPr>
      </w:pPr>
    </w:p>
    <w:p w:rsidR="004B3F2D" w:rsidRDefault="004B3F2D" w:rsidP="004E4388">
      <w:pPr>
        <w:rPr>
          <w:highlight w:val="yellow"/>
        </w:rPr>
      </w:pPr>
    </w:p>
    <w:p w:rsidR="004B3F2D" w:rsidRDefault="004B3F2D" w:rsidP="004E4388">
      <w:pPr>
        <w:rPr>
          <w:highlight w:val="yellow"/>
        </w:rPr>
      </w:pPr>
    </w:p>
    <w:p w:rsidR="004B3F2D" w:rsidRDefault="004B3F2D" w:rsidP="004E4388">
      <w:pPr>
        <w:rPr>
          <w:highlight w:val="yellow"/>
        </w:rPr>
      </w:pPr>
    </w:p>
    <w:p w:rsidR="004B3F2D" w:rsidRDefault="004B3F2D" w:rsidP="004E4388">
      <w:pPr>
        <w:rPr>
          <w:highlight w:val="yellow"/>
        </w:rPr>
      </w:pPr>
    </w:p>
    <w:p w:rsidR="004B3F2D" w:rsidRDefault="004B3F2D" w:rsidP="004E4388">
      <w:pPr>
        <w:rPr>
          <w:highlight w:val="yellow"/>
        </w:rPr>
      </w:pPr>
    </w:p>
    <w:p w:rsidR="004B3F2D" w:rsidRDefault="004B3F2D" w:rsidP="004E4388">
      <w:pPr>
        <w:rPr>
          <w:highlight w:val="yellow"/>
        </w:rPr>
      </w:pPr>
    </w:p>
    <w:p w:rsidR="000E6874" w:rsidRPr="00993F52" w:rsidRDefault="000E6874" w:rsidP="000E6874">
      <w:pPr>
        <w:numPr>
          <w:ilvl w:val="0"/>
          <w:numId w:val="40"/>
        </w:numPr>
        <w:rPr>
          <w:rFonts w:cs="Arial"/>
          <w:b/>
          <w:snapToGrid w:val="0"/>
          <w:sz w:val="28"/>
          <w:szCs w:val="28"/>
          <w:lang w:eastAsia="en-US"/>
        </w:rPr>
      </w:pPr>
      <w:r>
        <w:rPr>
          <w:rFonts w:cs="Arial"/>
          <w:b/>
          <w:snapToGrid w:val="0"/>
          <w:sz w:val="28"/>
          <w:szCs w:val="28"/>
        </w:rPr>
        <w:t>Knowledge &amp; Skills Framework</w:t>
      </w:r>
      <w:r w:rsidRPr="00993F52">
        <w:rPr>
          <w:rFonts w:cs="Arial"/>
          <w:b/>
          <w:snapToGrid w:val="0"/>
          <w:sz w:val="28"/>
          <w:szCs w:val="28"/>
          <w:lang w:eastAsia="en-US"/>
        </w:rPr>
        <w:t xml:space="preserve"> </w:t>
      </w:r>
    </w:p>
    <w:p w:rsidR="000E6874" w:rsidRPr="00FA67FD" w:rsidRDefault="000E6874" w:rsidP="000E6874">
      <w:pPr>
        <w:ind w:left="360"/>
        <w:rPr>
          <w:b/>
          <w:snapToGrid w:val="0"/>
          <w:sz w:val="28"/>
          <w:szCs w:val="28"/>
          <w:lang w:eastAsia="en-US"/>
        </w:rPr>
      </w:pPr>
    </w:p>
    <w:p w:rsidR="000E6874" w:rsidRDefault="000E6874" w:rsidP="000E6874">
      <w:pPr>
        <w:rPr>
          <w:rFonts w:cs="Arial"/>
          <w:b/>
          <w:snapToGrid w:val="0"/>
          <w:szCs w:val="24"/>
          <w:lang w:eastAsia="en-US"/>
        </w:rPr>
      </w:pPr>
      <w:r w:rsidRPr="00C6091D">
        <w:rPr>
          <w:rFonts w:cs="Arial"/>
          <w:b/>
          <w:snapToGrid w:val="0"/>
          <w:szCs w:val="24"/>
          <w:lang w:eastAsia="en-US"/>
        </w:rPr>
        <w:t>CIPFA Pensions Finance Knowledge and Skills Framework</w:t>
      </w:r>
    </w:p>
    <w:p w:rsidR="000E6874" w:rsidRPr="00C6091D" w:rsidRDefault="000E6874" w:rsidP="000E6874">
      <w:pPr>
        <w:rPr>
          <w:rFonts w:cs="Arial"/>
          <w:b/>
          <w:snapToGrid w:val="0"/>
          <w:szCs w:val="24"/>
          <w:lang w:eastAsia="en-US"/>
        </w:rPr>
      </w:pPr>
    </w:p>
    <w:p w:rsidR="000E6874" w:rsidRDefault="000E6874" w:rsidP="000E6874">
      <w:pPr>
        <w:rPr>
          <w:rFonts w:cs="Arial"/>
          <w:szCs w:val="24"/>
        </w:rPr>
      </w:pPr>
      <w:r w:rsidRPr="00993F52">
        <w:rPr>
          <w:rFonts w:cs="Arial"/>
          <w:szCs w:val="24"/>
        </w:rPr>
        <w:t xml:space="preserve">The Chartered Institute of Public Finance and Accountancy (CIPFA) published its code of </w:t>
      </w:r>
      <w:r w:rsidR="008220A9">
        <w:rPr>
          <w:rFonts w:cs="Arial"/>
          <w:szCs w:val="24"/>
        </w:rPr>
        <w:t>p</w:t>
      </w:r>
      <w:r w:rsidRPr="00993F52">
        <w:rPr>
          <w:rFonts w:cs="Arial"/>
          <w:szCs w:val="24"/>
        </w:rPr>
        <w:t xml:space="preserve">ractice on public sector pensions finance knowledge and skills in October 2011. The Code has been devised in response to Lord Hutton's recommendation that every public sector pension scheme (and individual LGPS fund) should have a properly constituted, trained and competent "Pensions Board".  It also represents a key element in complying with the relevant principles of investment practice laid out in Local Government Pension Scheme (Management and Investment of funds) regulations 2009 regarding Effective Decision making. </w:t>
      </w:r>
    </w:p>
    <w:p w:rsidR="000E6874" w:rsidRPr="00993F52" w:rsidRDefault="000E6874" w:rsidP="000E6874">
      <w:pPr>
        <w:rPr>
          <w:rFonts w:cs="Arial"/>
          <w:szCs w:val="24"/>
        </w:rPr>
      </w:pPr>
    </w:p>
    <w:p w:rsidR="000E6874" w:rsidRDefault="000E6874" w:rsidP="000E6874">
      <w:pPr>
        <w:rPr>
          <w:rFonts w:cs="Arial"/>
          <w:szCs w:val="24"/>
        </w:rPr>
      </w:pPr>
      <w:r w:rsidRPr="00993F52">
        <w:rPr>
          <w:rFonts w:cs="Arial"/>
          <w:szCs w:val="24"/>
        </w:rPr>
        <w:t>The Code is intended to be used in conjunction with the CIPFA Pension Finance Knowledge and Skills Frameworks (KSF) which enhances where necessary, levels of knowledge and skill held by all those, whether members or officers, involved in the management and oversight of public sector pension funds.</w:t>
      </w:r>
    </w:p>
    <w:p w:rsidR="000E6874" w:rsidRPr="00993F52" w:rsidRDefault="000E6874" w:rsidP="000E6874">
      <w:pPr>
        <w:rPr>
          <w:rFonts w:cs="Arial"/>
          <w:szCs w:val="24"/>
        </w:rPr>
      </w:pPr>
    </w:p>
    <w:p w:rsidR="000E6874" w:rsidRDefault="000E6874" w:rsidP="000E6874">
      <w:pPr>
        <w:rPr>
          <w:rFonts w:cs="Arial"/>
          <w:szCs w:val="24"/>
        </w:rPr>
      </w:pPr>
      <w:r w:rsidRPr="00993F52">
        <w:rPr>
          <w:rFonts w:cs="Arial"/>
          <w:szCs w:val="24"/>
        </w:rPr>
        <w:t>The Code became effective from 1 April 2012 and is mandatory for CIPFA members as part of their standards of professional practice, and was adopted by the Pension Fund Committee at its meeting on 3 February 2012 in order to ensure good governance and training practices, and to support the Treasurer who, as a CIPFA member, has a professional requirement to comply with the Code.</w:t>
      </w:r>
    </w:p>
    <w:p w:rsidR="000E6874" w:rsidRDefault="000E6874" w:rsidP="000E6874">
      <w:pPr>
        <w:rPr>
          <w:rFonts w:cs="Arial"/>
          <w:szCs w:val="24"/>
        </w:rPr>
      </w:pPr>
    </w:p>
    <w:p w:rsidR="000E6874" w:rsidRDefault="000E6874" w:rsidP="000E6874">
      <w:pPr>
        <w:autoSpaceDE w:val="0"/>
        <w:autoSpaceDN w:val="0"/>
        <w:adjustRightInd w:val="0"/>
        <w:rPr>
          <w:rFonts w:cs="Arial"/>
          <w:szCs w:val="24"/>
        </w:rPr>
      </w:pPr>
      <w:r w:rsidRPr="00993F52">
        <w:rPr>
          <w:rFonts w:cs="Arial"/>
          <w:szCs w:val="24"/>
        </w:rPr>
        <w:t>In order to ensure best practice within the Fund, and to comply with the Public Service Pensions Act 2013, a Training Plan for those charged with governance and financial management of the Lancashire County Pension Fund (Committee Members and Officers) should be developed on an annual basis. At its meeting of 7 June 2013, the Pension Fund Committee agreed to the development of such a training programme.</w:t>
      </w:r>
    </w:p>
    <w:p w:rsidR="000E6874" w:rsidRDefault="000E6874" w:rsidP="000E6874">
      <w:pPr>
        <w:pStyle w:val="NormalWeb"/>
        <w:rPr>
          <w:rFonts w:ascii="Arial" w:hAnsi="Arial" w:cs="Arial"/>
          <w:szCs w:val="24"/>
        </w:rPr>
      </w:pPr>
      <w:r w:rsidRPr="00993F52">
        <w:rPr>
          <w:rFonts w:ascii="Arial" w:hAnsi="Arial" w:cs="Arial"/>
          <w:szCs w:val="24"/>
        </w:rPr>
        <w:t xml:space="preserve">Central to this is the tenet that the Fund should secure appropriate training, having assessed the professional competence of both those involved in pension scheme financial management and those with a policy, management or oversight role.  </w:t>
      </w:r>
    </w:p>
    <w:p w:rsidR="000E6874" w:rsidRPr="00993F52" w:rsidRDefault="000E6874" w:rsidP="000E6874">
      <w:pPr>
        <w:autoSpaceDE w:val="0"/>
        <w:autoSpaceDN w:val="0"/>
        <w:adjustRightInd w:val="0"/>
        <w:rPr>
          <w:rFonts w:cs="Arial"/>
          <w:szCs w:val="24"/>
        </w:rPr>
      </w:pPr>
      <w:r w:rsidRPr="00993F52">
        <w:rPr>
          <w:rFonts w:cs="Arial"/>
          <w:szCs w:val="24"/>
        </w:rPr>
        <w:t xml:space="preserve">It is not required that each individual demonstrates a level of expertise in every aspect of </w:t>
      </w:r>
      <w:r w:rsidR="008220A9">
        <w:rPr>
          <w:rFonts w:cs="Arial"/>
          <w:szCs w:val="24"/>
        </w:rPr>
        <w:t>s</w:t>
      </w:r>
      <w:r w:rsidRPr="00993F52">
        <w:rPr>
          <w:rFonts w:cs="Arial"/>
          <w:szCs w:val="24"/>
        </w:rPr>
        <w:t>cheme governance and management, but rather that as a group both the Fund's Officers and the Committee has a level of knowledge and skills to ensure effective decision making.</w:t>
      </w:r>
    </w:p>
    <w:p w:rsidR="000E6874" w:rsidRDefault="000E6874" w:rsidP="000E6874">
      <w:pPr>
        <w:autoSpaceDE w:val="0"/>
        <w:autoSpaceDN w:val="0"/>
        <w:adjustRightInd w:val="0"/>
        <w:rPr>
          <w:rFonts w:cs="Arial"/>
          <w:szCs w:val="24"/>
        </w:rPr>
      </w:pPr>
      <w:r w:rsidRPr="00993F52">
        <w:rPr>
          <w:rFonts w:cs="Arial"/>
          <w:szCs w:val="24"/>
        </w:rPr>
        <w:t>Committee Members and Officers are also required to undertake training to satisfy the obligations placed upon them by the:</w:t>
      </w:r>
    </w:p>
    <w:p w:rsidR="000E6874" w:rsidRPr="00993F52" w:rsidRDefault="000E6874" w:rsidP="000E6874">
      <w:pPr>
        <w:autoSpaceDE w:val="0"/>
        <w:autoSpaceDN w:val="0"/>
        <w:adjustRightInd w:val="0"/>
        <w:rPr>
          <w:rFonts w:cs="Arial"/>
          <w:szCs w:val="24"/>
        </w:rPr>
      </w:pPr>
    </w:p>
    <w:p w:rsidR="000E6874" w:rsidRDefault="000E6874" w:rsidP="000E6874">
      <w:pPr>
        <w:numPr>
          <w:ilvl w:val="0"/>
          <w:numId w:val="20"/>
        </w:numPr>
        <w:autoSpaceDE w:val="0"/>
        <w:autoSpaceDN w:val="0"/>
        <w:adjustRightInd w:val="0"/>
        <w:ind w:hanging="294"/>
        <w:rPr>
          <w:rFonts w:cs="Arial"/>
          <w:szCs w:val="24"/>
        </w:rPr>
      </w:pPr>
      <w:r w:rsidRPr="00993F52">
        <w:rPr>
          <w:rFonts w:cs="Arial"/>
          <w:szCs w:val="24"/>
        </w:rPr>
        <w:t>Myners Principles (as detailed in the Statement of Investment Principles);</w:t>
      </w:r>
    </w:p>
    <w:p w:rsidR="000E6874" w:rsidRDefault="000E6874" w:rsidP="000E6874">
      <w:pPr>
        <w:numPr>
          <w:ilvl w:val="0"/>
          <w:numId w:val="20"/>
        </w:numPr>
        <w:autoSpaceDE w:val="0"/>
        <w:autoSpaceDN w:val="0"/>
        <w:adjustRightInd w:val="0"/>
        <w:ind w:hanging="294"/>
        <w:rPr>
          <w:rFonts w:cs="Arial"/>
          <w:szCs w:val="24"/>
        </w:rPr>
      </w:pPr>
      <w:r w:rsidRPr="00993F52">
        <w:rPr>
          <w:rFonts w:cs="Arial"/>
          <w:szCs w:val="24"/>
        </w:rPr>
        <w:t>Pensions Regulations and the Pensions Regulator;</w:t>
      </w:r>
    </w:p>
    <w:p w:rsidR="000E6874" w:rsidRDefault="000E6874" w:rsidP="000E6874">
      <w:pPr>
        <w:numPr>
          <w:ilvl w:val="0"/>
          <w:numId w:val="20"/>
        </w:numPr>
        <w:autoSpaceDE w:val="0"/>
        <w:autoSpaceDN w:val="0"/>
        <w:adjustRightInd w:val="0"/>
        <w:ind w:left="709" w:hanging="294"/>
        <w:rPr>
          <w:rFonts w:cs="Arial"/>
          <w:szCs w:val="24"/>
        </w:rPr>
      </w:pPr>
      <w:r w:rsidRPr="00C6091D">
        <w:rPr>
          <w:rFonts w:cs="Arial"/>
          <w:szCs w:val="24"/>
        </w:rPr>
        <w:t>CIPFA Code of Practice on Public Sector Pensions Finance Knowledge and Skills; and the LGPS Governance Compliance Statement</w:t>
      </w:r>
      <w:r>
        <w:rPr>
          <w:rFonts w:cs="Arial"/>
          <w:szCs w:val="24"/>
        </w:rPr>
        <w:t>.</w:t>
      </w:r>
    </w:p>
    <w:p w:rsidR="004B3F2D" w:rsidRPr="004B3F2D" w:rsidRDefault="004B3F2D" w:rsidP="004B3F2D">
      <w:pPr>
        <w:rPr>
          <w:rFonts w:cs="Arial"/>
        </w:rPr>
      </w:pPr>
    </w:p>
    <w:p w:rsidR="000E6874" w:rsidRDefault="000E6874" w:rsidP="000E6874">
      <w:pPr>
        <w:autoSpaceDE w:val="0"/>
        <w:autoSpaceDN w:val="0"/>
        <w:adjustRightInd w:val="0"/>
        <w:rPr>
          <w:rFonts w:cs="Arial"/>
          <w:b/>
          <w:szCs w:val="24"/>
        </w:rPr>
      </w:pPr>
      <w:r w:rsidRPr="00C6091D">
        <w:rPr>
          <w:rFonts w:cs="Arial"/>
          <w:b/>
          <w:szCs w:val="24"/>
        </w:rPr>
        <w:t>Approach</w:t>
      </w:r>
    </w:p>
    <w:p w:rsidR="000E6874" w:rsidRDefault="000E6874" w:rsidP="000E6874">
      <w:pPr>
        <w:autoSpaceDE w:val="0"/>
        <w:autoSpaceDN w:val="0"/>
        <w:adjustRightInd w:val="0"/>
        <w:rPr>
          <w:rFonts w:cs="Arial"/>
          <w:b/>
          <w:szCs w:val="24"/>
        </w:rPr>
      </w:pPr>
    </w:p>
    <w:p w:rsidR="000E6874" w:rsidRDefault="000E6874" w:rsidP="000E6874">
      <w:pPr>
        <w:autoSpaceDE w:val="0"/>
        <w:autoSpaceDN w:val="0"/>
        <w:adjustRightInd w:val="0"/>
        <w:rPr>
          <w:rFonts w:cs="Arial"/>
          <w:szCs w:val="24"/>
        </w:rPr>
      </w:pPr>
      <w:r w:rsidRPr="00993F52">
        <w:rPr>
          <w:rFonts w:cs="Arial"/>
          <w:szCs w:val="24"/>
        </w:rPr>
        <w:t>The Fund's approach to training is supportive in nature with the intention of providing committee members and officers with regular sessions that contribute to their level of skills and knowledge. Primarily based upon pre-</w:t>
      </w:r>
      <w:r w:rsidR="00AA3BB9">
        <w:rPr>
          <w:rFonts w:cs="Arial"/>
          <w:szCs w:val="24"/>
        </w:rPr>
        <w:t>c</w:t>
      </w:r>
      <w:r w:rsidRPr="00993F52">
        <w:rPr>
          <w:rFonts w:cs="Arial"/>
          <w:szCs w:val="24"/>
        </w:rPr>
        <w:t xml:space="preserve">ommittee training sessions, it also involves updates from officers and independent advisers. Details of external events are also circulated as appropriate. This is in addition to an expectation that committee members will undertake some self-directed learning </w:t>
      </w:r>
      <w:r w:rsidRPr="00993F52">
        <w:rPr>
          <w:rFonts w:cs="Arial"/>
          <w:szCs w:val="24"/>
        </w:rPr>
        <w:lastRenderedPageBreak/>
        <w:t>outside of the formal training. Fund officers are also available to provide additional support and advice.</w:t>
      </w:r>
    </w:p>
    <w:p w:rsidR="000E6874" w:rsidRDefault="000E6874" w:rsidP="000E6874">
      <w:pPr>
        <w:autoSpaceDE w:val="0"/>
        <w:autoSpaceDN w:val="0"/>
        <w:adjustRightInd w:val="0"/>
        <w:rPr>
          <w:rFonts w:cs="Arial"/>
          <w:szCs w:val="24"/>
        </w:rPr>
      </w:pPr>
    </w:p>
    <w:p w:rsidR="000E6874" w:rsidRDefault="000E6874" w:rsidP="000E6874">
      <w:pPr>
        <w:autoSpaceDE w:val="0"/>
        <w:autoSpaceDN w:val="0"/>
        <w:adjustRightInd w:val="0"/>
        <w:rPr>
          <w:rFonts w:cs="Arial"/>
          <w:szCs w:val="24"/>
        </w:rPr>
      </w:pPr>
      <w:r w:rsidRPr="00C6091D">
        <w:rPr>
          <w:rFonts w:cs="Arial"/>
          <w:szCs w:val="24"/>
        </w:rPr>
        <w:t>The key elements of the plan are designed to support members of the Committee in gaining the necessary knowledge and skills as a collective group over the following areas required by the CIPFA Knowledge and Skills Framework:</w:t>
      </w:r>
    </w:p>
    <w:p w:rsidR="000E6874" w:rsidRPr="00C6091D" w:rsidRDefault="000E6874" w:rsidP="000E6874">
      <w:pPr>
        <w:autoSpaceDE w:val="0"/>
        <w:autoSpaceDN w:val="0"/>
        <w:adjustRightInd w:val="0"/>
        <w:rPr>
          <w:rFonts w:cs="Arial"/>
          <w:szCs w:val="24"/>
        </w:rPr>
      </w:pPr>
    </w:p>
    <w:p w:rsidR="000E6874" w:rsidRPr="00C6091D" w:rsidRDefault="000E6874" w:rsidP="000E6874">
      <w:pPr>
        <w:pStyle w:val="Heading5"/>
        <w:numPr>
          <w:ilvl w:val="0"/>
          <w:numId w:val="21"/>
        </w:numPr>
        <w:rPr>
          <w:rFonts w:ascii="Arial" w:hAnsi="Arial" w:cs="Arial"/>
          <w:b w:val="0"/>
          <w:szCs w:val="24"/>
          <w:u w:val="none"/>
        </w:rPr>
      </w:pPr>
      <w:r w:rsidRPr="00C6091D">
        <w:rPr>
          <w:rFonts w:ascii="Arial" w:hAnsi="Arial" w:cs="Arial"/>
          <w:b w:val="0"/>
          <w:szCs w:val="24"/>
          <w:u w:val="none"/>
        </w:rPr>
        <w:t>Pension Fund governance;</w:t>
      </w:r>
    </w:p>
    <w:p w:rsidR="000E6874" w:rsidRPr="00C6091D" w:rsidRDefault="000E6874" w:rsidP="000E6874">
      <w:pPr>
        <w:numPr>
          <w:ilvl w:val="0"/>
          <w:numId w:val="21"/>
        </w:numPr>
        <w:rPr>
          <w:rFonts w:cs="Arial"/>
          <w:szCs w:val="24"/>
        </w:rPr>
      </w:pPr>
      <w:r w:rsidRPr="00C6091D">
        <w:rPr>
          <w:rFonts w:cs="Arial"/>
          <w:szCs w:val="24"/>
        </w:rPr>
        <w:t>Accounting and Audit standards;</w:t>
      </w:r>
    </w:p>
    <w:p w:rsidR="000E6874" w:rsidRPr="00C6091D" w:rsidRDefault="000E6874" w:rsidP="000E6874">
      <w:pPr>
        <w:numPr>
          <w:ilvl w:val="0"/>
          <w:numId w:val="21"/>
        </w:numPr>
        <w:rPr>
          <w:rFonts w:cs="Arial"/>
          <w:szCs w:val="24"/>
        </w:rPr>
      </w:pPr>
      <w:r w:rsidRPr="00C6091D">
        <w:rPr>
          <w:rFonts w:cs="Arial"/>
          <w:szCs w:val="24"/>
        </w:rPr>
        <w:t>Procurement of financial services;</w:t>
      </w:r>
    </w:p>
    <w:p w:rsidR="000E6874" w:rsidRPr="00C6091D" w:rsidRDefault="000E6874" w:rsidP="000E6874">
      <w:pPr>
        <w:numPr>
          <w:ilvl w:val="0"/>
          <w:numId w:val="21"/>
        </w:numPr>
        <w:rPr>
          <w:rFonts w:cs="Arial"/>
          <w:szCs w:val="24"/>
        </w:rPr>
      </w:pPr>
      <w:r w:rsidRPr="00C6091D">
        <w:rPr>
          <w:rFonts w:cs="Arial"/>
          <w:szCs w:val="24"/>
        </w:rPr>
        <w:t>Investment performance and risk management;</w:t>
      </w:r>
    </w:p>
    <w:p w:rsidR="000E6874" w:rsidRPr="00C6091D" w:rsidRDefault="000E6874" w:rsidP="000E6874">
      <w:pPr>
        <w:numPr>
          <w:ilvl w:val="0"/>
          <w:numId w:val="21"/>
        </w:numPr>
        <w:rPr>
          <w:rFonts w:cs="Arial"/>
          <w:szCs w:val="24"/>
        </w:rPr>
      </w:pPr>
      <w:r w:rsidRPr="00C6091D">
        <w:rPr>
          <w:rFonts w:cs="Arial"/>
          <w:szCs w:val="24"/>
        </w:rPr>
        <w:t>Financial markets and product knowledge;</w:t>
      </w:r>
    </w:p>
    <w:p w:rsidR="000E6874" w:rsidRPr="00C6091D" w:rsidRDefault="000E6874" w:rsidP="000E6874">
      <w:pPr>
        <w:numPr>
          <w:ilvl w:val="0"/>
          <w:numId w:val="21"/>
        </w:numPr>
        <w:rPr>
          <w:rFonts w:cs="Arial"/>
          <w:szCs w:val="24"/>
        </w:rPr>
      </w:pPr>
      <w:r w:rsidRPr="00C6091D">
        <w:rPr>
          <w:rFonts w:cs="Arial"/>
          <w:szCs w:val="24"/>
        </w:rPr>
        <w:t>Actuarial methods and valuation.</w:t>
      </w:r>
    </w:p>
    <w:p w:rsidR="000E6874" w:rsidRPr="00C6091D" w:rsidRDefault="000E6874" w:rsidP="000E6874">
      <w:pPr>
        <w:pStyle w:val="Heading5"/>
        <w:rPr>
          <w:rFonts w:ascii="Arial" w:hAnsi="Arial" w:cs="Arial"/>
          <w:szCs w:val="24"/>
          <w:u w:val="none"/>
        </w:rPr>
      </w:pPr>
    </w:p>
    <w:p w:rsidR="000E6874" w:rsidRDefault="000E6874" w:rsidP="000E6874">
      <w:pPr>
        <w:pStyle w:val="Heading5"/>
        <w:rPr>
          <w:rFonts w:ascii="Arial" w:hAnsi="Arial" w:cs="Arial"/>
          <w:b w:val="0"/>
          <w:szCs w:val="24"/>
          <w:u w:val="none"/>
        </w:rPr>
      </w:pPr>
      <w:r w:rsidRPr="00C6091D">
        <w:rPr>
          <w:rFonts w:ascii="Arial" w:hAnsi="Arial" w:cs="Arial"/>
          <w:b w:val="0"/>
          <w:szCs w:val="24"/>
          <w:u w:val="none"/>
        </w:rPr>
        <w:t>It is comprised of a combination of internally developed training sessions, updates from officers and independent advisers, external events, and self-directed learning.</w:t>
      </w:r>
    </w:p>
    <w:p w:rsidR="000E6874" w:rsidRPr="000E6874" w:rsidRDefault="000E6874" w:rsidP="000E6874"/>
    <w:p w:rsidR="000E6874" w:rsidRDefault="000E6874" w:rsidP="000E6874">
      <w:pPr>
        <w:autoSpaceDE w:val="0"/>
        <w:autoSpaceDN w:val="0"/>
        <w:adjustRightInd w:val="0"/>
        <w:rPr>
          <w:rStyle w:val="Hyperlink"/>
          <w:rFonts w:cs="Arial"/>
          <w:szCs w:val="24"/>
        </w:rPr>
      </w:pPr>
      <w:r w:rsidRPr="00C6091D">
        <w:rPr>
          <w:rFonts w:cs="Arial"/>
          <w:szCs w:val="24"/>
        </w:rPr>
        <w:t xml:space="preserve">Planning and monitoring that both </w:t>
      </w:r>
      <w:r w:rsidR="00AA3BB9">
        <w:rPr>
          <w:rFonts w:cs="Arial"/>
          <w:szCs w:val="24"/>
        </w:rPr>
        <w:t>c</w:t>
      </w:r>
      <w:r w:rsidRPr="00C6091D">
        <w:rPr>
          <w:rFonts w:cs="Arial"/>
          <w:szCs w:val="24"/>
        </w:rPr>
        <w:t xml:space="preserve">ommittee </w:t>
      </w:r>
      <w:r w:rsidR="00AA3BB9">
        <w:rPr>
          <w:rFonts w:cs="Arial"/>
          <w:szCs w:val="24"/>
        </w:rPr>
        <w:t>m</w:t>
      </w:r>
      <w:r w:rsidRPr="00C6091D">
        <w:rPr>
          <w:rFonts w:cs="Arial"/>
          <w:szCs w:val="24"/>
        </w:rPr>
        <w:t xml:space="preserve">embers and the </w:t>
      </w:r>
      <w:r w:rsidR="00AA3BB9">
        <w:rPr>
          <w:rFonts w:cs="Arial"/>
          <w:szCs w:val="24"/>
        </w:rPr>
        <w:t>o</w:t>
      </w:r>
      <w:r w:rsidRPr="00C6091D">
        <w:rPr>
          <w:rFonts w:cs="Arial"/>
          <w:szCs w:val="24"/>
        </w:rPr>
        <w:t xml:space="preserve">fficers of the </w:t>
      </w:r>
      <w:r w:rsidR="00AA3BB9">
        <w:rPr>
          <w:rFonts w:cs="Arial"/>
          <w:szCs w:val="24"/>
        </w:rPr>
        <w:t>s</w:t>
      </w:r>
      <w:r w:rsidRPr="00C6091D">
        <w:rPr>
          <w:rFonts w:cs="Arial"/>
          <w:szCs w:val="24"/>
        </w:rPr>
        <w:t xml:space="preserve">cheme comply with these requirements is provided through the adoption of an annual </w:t>
      </w:r>
      <w:r w:rsidR="00AA3BB9">
        <w:rPr>
          <w:rFonts w:cs="Arial"/>
          <w:szCs w:val="24"/>
        </w:rPr>
        <w:t>t</w:t>
      </w:r>
      <w:r w:rsidRPr="00C6091D">
        <w:rPr>
          <w:rFonts w:cs="Arial"/>
          <w:szCs w:val="24"/>
        </w:rPr>
        <w:t xml:space="preserve">raining </w:t>
      </w:r>
      <w:r w:rsidR="00AA3BB9">
        <w:rPr>
          <w:rFonts w:cs="Arial"/>
          <w:szCs w:val="24"/>
        </w:rPr>
        <w:t>p</w:t>
      </w:r>
      <w:r w:rsidRPr="00C6091D">
        <w:rPr>
          <w:rFonts w:cs="Arial"/>
          <w:szCs w:val="24"/>
        </w:rPr>
        <w:t xml:space="preserve">lan, which was agreed by the Pension Fund Committee on 29 November 2013, and can be accessed at </w:t>
      </w:r>
      <w:hyperlink r:id="rId18" w:history="1">
        <w:r w:rsidRPr="00C6091D">
          <w:rPr>
            <w:rStyle w:val="Hyperlink"/>
            <w:rFonts w:cs="Arial"/>
            <w:szCs w:val="24"/>
          </w:rPr>
          <w:t>Lancashire County Pension Fund Training Plan</w:t>
        </w:r>
      </w:hyperlink>
    </w:p>
    <w:p w:rsidR="000E6874" w:rsidRPr="00C6091D" w:rsidRDefault="000E6874" w:rsidP="000E6874">
      <w:pPr>
        <w:autoSpaceDE w:val="0"/>
        <w:autoSpaceDN w:val="0"/>
        <w:adjustRightInd w:val="0"/>
        <w:rPr>
          <w:rFonts w:cs="Arial"/>
          <w:szCs w:val="24"/>
        </w:rPr>
      </w:pPr>
    </w:p>
    <w:p w:rsidR="000E6874" w:rsidRDefault="000E6874" w:rsidP="000E6874">
      <w:pPr>
        <w:rPr>
          <w:rFonts w:cs="Arial"/>
          <w:szCs w:val="24"/>
        </w:rPr>
      </w:pPr>
      <w:r w:rsidRPr="00C6091D">
        <w:rPr>
          <w:rFonts w:cs="Arial"/>
          <w:szCs w:val="24"/>
        </w:rPr>
        <w:t>In addition</w:t>
      </w:r>
      <w:r w:rsidR="00AA3BB9">
        <w:rPr>
          <w:rFonts w:cs="Arial"/>
          <w:szCs w:val="24"/>
        </w:rPr>
        <w:t xml:space="preserve">, </w:t>
      </w:r>
      <w:r w:rsidRPr="00C6091D">
        <w:rPr>
          <w:rFonts w:cs="Arial"/>
          <w:szCs w:val="24"/>
        </w:rPr>
        <w:t>the Council currently subscribes to a web-based knowledge and skills self-assessment tool, developed by Hymans Robertson in conjunction with the CIPFA Pensions Network, to enable officers and elected members to help identify any gaps in their knowledge or skills. Use of the on-line toolkit was set aside during 2013/14 in favour of other forms of support as set out in the agreed Training Plan.</w:t>
      </w:r>
    </w:p>
    <w:p w:rsidR="000E6874" w:rsidRPr="00C6091D" w:rsidRDefault="000E6874" w:rsidP="000E6874">
      <w:pPr>
        <w:rPr>
          <w:rFonts w:cs="Arial"/>
          <w:szCs w:val="24"/>
        </w:rPr>
      </w:pPr>
    </w:p>
    <w:p w:rsidR="000E6874" w:rsidRDefault="000E6874" w:rsidP="000E6874">
      <w:pPr>
        <w:rPr>
          <w:rFonts w:cs="Arial"/>
          <w:szCs w:val="24"/>
        </w:rPr>
      </w:pPr>
      <w:r w:rsidRPr="00C6091D">
        <w:rPr>
          <w:rFonts w:cs="Arial"/>
          <w:szCs w:val="24"/>
        </w:rPr>
        <w:t>Details of training provided and attended during 2013/14 are given below:</w:t>
      </w:r>
    </w:p>
    <w:p w:rsidR="000E6874" w:rsidRPr="00C6091D" w:rsidRDefault="000E6874" w:rsidP="000E6874">
      <w:pPr>
        <w:rPr>
          <w:rFonts w:cs="Arial"/>
          <w:szCs w:val="24"/>
        </w:rPr>
      </w:pPr>
    </w:p>
    <w:tbl>
      <w:tblPr>
        <w:tblStyle w:val="TableGrid"/>
        <w:tblW w:w="0" w:type="auto"/>
        <w:tblLayout w:type="fixed"/>
        <w:tblLook w:val="04A0" w:firstRow="1" w:lastRow="0" w:firstColumn="1" w:lastColumn="0" w:noHBand="0" w:noVBand="1"/>
      </w:tblPr>
      <w:tblGrid>
        <w:gridCol w:w="1273"/>
        <w:gridCol w:w="2663"/>
        <w:gridCol w:w="2976"/>
        <w:gridCol w:w="1985"/>
        <w:gridCol w:w="1417"/>
      </w:tblGrid>
      <w:tr w:rsidR="000E6874" w:rsidRPr="00C6091D" w:rsidTr="004B3F2D">
        <w:tc>
          <w:tcPr>
            <w:tcW w:w="1273" w:type="dxa"/>
          </w:tcPr>
          <w:p w:rsidR="000E6874" w:rsidRPr="00C6091D" w:rsidRDefault="000E6874" w:rsidP="00883B4E">
            <w:pPr>
              <w:rPr>
                <w:rFonts w:cs="Arial"/>
                <w:szCs w:val="24"/>
              </w:rPr>
            </w:pPr>
            <w:r w:rsidRPr="00C6091D">
              <w:rPr>
                <w:rFonts w:cs="Arial"/>
                <w:szCs w:val="24"/>
              </w:rPr>
              <w:t>Date</w:t>
            </w:r>
          </w:p>
        </w:tc>
        <w:tc>
          <w:tcPr>
            <w:tcW w:w="2663" w:type="dxa"/>
          </w:tcPr>
          <w:p w:rsidR="000E6874" w:rsidRPr="00C6091D" w:rsidRDefault="000E6874" w:rsidP="00883B4E">
            <w:pPr>
              <w:rPr>
                <w:rFonts w:cs="Arial"/>
                <w:szCs w:val="24"/>
              </w:rPr>
            </w:pPr>
            <w:r w:rsidRPr="00C6091D">
              <w:rPr>
                <w:rFonts w:cs="Arial"/>
                <w:szCs w:val="24"/>
              </w:rPr>
              <w:t>Subject</w:t>
            </w:r>
          </w:p>
        </w:tc>
        <w:tc>
          <w:tcPr>
            <w:tcW w:w="2976" w:type="dxa"/>
          </w:tcPr>
          <w:p w:rsidR="000E6874" w:rsidRPr="00C6091D" w:rsidRDefault="000E6874" w:rsidP="00883B4E">
            <w:pPr>
              <w:rPr>
                <w:rFonts w:cs="Arial"/>
                <w:szCs w:val="24"/>
              </w:rPr>
            </w:pPr>
            <w:r w:rsidRPr="00C6091D">
              <w:rPr>
                <w:rFonts w:cs="Arial"/>
                <w:szCs w:val="24"/>
              </w:rPr>
              <w:t>Training provider</w:t>
            </w:r>
          </w:p>
        </w:tc>
        <w:tc>
          <w:tcPr>
            <w:tcW w:w="1985" w:type="dxa"/>
          </w:tcPr>
          <w:p w:rsidR="000E6874" w:rsidRPr="00C6091D" w:rsidRDefault="000E6874" w:rsidP="00883B4E">
            <w:pPr>
              <w:rPr>
                <w:rFonts w:cs="Arial"/>
                <w:szCs w:val="24"/>
              </w:rPr>
            </w:pPr>
            <w:r w:rsidRPr="00C6091D">
              <w:rPr>
                <w:rFonts w:cs="Arial"/>
                <w:szCs w:val="24"/>
              </w:rPr>
              <w:t>Venue</w:t>
            </w:r>
          </w:p>
        </w:tc>
        <w:tc>
          <w:tcPr>
            <w:tcW w:w="1417" w:type="dxa"/>
          </w:tcPr>
          <w:p w:rsidR="000E6874" w:rsidRPr="00C6091D" w:rsidRDefault="000E6874" w:rsidP="00883B4E">
            <w:pPr>
              <w:rPr>
                <w:rFonts w:cs="Arial"/>
                <w:szCs w:val="24"/>
              </w:rPr>
            </w:pPr>
            <w:r w:rsidRPr="00C6091D">
              <w:rPr>
                <w:rFonts w:cs="Arial"/>
                <w:szCs w:val="24"/>
              </w:rPr>
              <w:t>Number of attendees</w:t>
            </w:r>
          </w:p>
        </w:tc>
      </w:tr>
      <w:tr w:rsidR="000E6874" w:rsidRPr="00C6091D" w:rsidTr="004B3F2D">
        <w:tc>
          <w:tcPr>
            <w:tcW w:w="1273" w:type="dxa"/>
          </w:tcPr>
          <w:p w:rsidR="000E6874" w:rsidRPr="00C6091D" w:rsidRDefault="000E6874" w:rsidP="00883B4E">
            <w:pPr>
              <w:rPr>
                <w:rFonts w:cs="Arial"/>
                <w:szCs w:val="24"/>
              </w:rPr>
            </w:pPr>
            <w:r w:rsidRPr="00C6091D">
              <w:rPr>
                <w:rFonts w:cs="Arial"/>
                <w:szCs w:val="24"/>
              </w:rPr>
              <w:t>07/06/13</w:t>
            </w:r>
          </w:p>
        </w:tc>
        <w:tc>
          <w:tcPr>
            <w:tcW w:w="2663" w:type="dxa"/>
          </w:tcPr>
          <w:p w:rsidR="000E6874" w:rsidRPr="00C6091D" w:rsidRDefault="000E6874" w:rsidP="00883B4E">
            <w:pPr>
              <w:rPr>
                <w:rFonts w:cs="Arial"/>
                <w:szCs w:val="24"/>
              </w:rPr>
            </w:pPr>
            <w:r w:rsidRPr="00C6091D">
              <w:rPr>
                <w:rFonts w:cs="Arial"/>
                <w:szCs w:val="24"/>
              </w:rPr>
              <w:t>Introduction to the Pension Fund</w:t>
            </w:r>
          </w:p>
        </w:tc>
        <w:tc>
          <w:tcPr>
            <w:tcW w:w="2976" w:type="dxa"/>
          </w:tcPr>
          <w:p w:rsidR="000E6874" w:rsidRPr="00C6091D" w:rsidRDefault="000E6874" w:rsidP="00883B4E">
            <w:pPr>
              <w:rPr>
                <w:rFonts w:cs="Arial"/>
                <w:szCs w:val="24"/>
              </w:rPr>
            </w:pPr>
            <w:r w:rsidRPr="00C6091D">
              <w:rPr>
                <w:rFonts w:cs="Arial"/>
                <w:szCs w:val="24"/>
              </w:rPr>
              <w:t>Internal – Treasurer to the Pension Fund, and other members of the Team</w:t>
            </w:r>
          </w:p>
        </w:tc>
        <w:tc>
          <w:tcPr>
            <w:tcW w:w="1985" w:type="dxa"/>
          </w:tcPr>
          <w:p w:rsidR="000E6874" w:rsidRPr="00C6091D" w:rsidRDefault="000E6874" w:rsidP="00883B4E">
            <w:pPr>
              <w:rPr>
                <w:rFonts w:cs="Arial"/>
                <w:szCs w:val="24"/>
              </w:rPr>
            </w:pPr>
            <w:r w:rsidRPr="00C6091D">
              <w:rPr>
                <w:rFonts w:cs="Arial"/>
                <w:szCs w:val="24"/>
              </w:rPr>
              <w:t>County Hall, Preston</w:t>
            </w:r>
          </w:p>
        </w:tc>
        <w:tc>
          <w:tcPr>
            <w:tcW w:w="1417" w:type="dxa"/>
          </w:tcPr>
          <w:p w:rsidR="000E6874" w:rsidRPr="00C6091D" w:rsidRDefault="000E6874" w:rsidP="00883B4E">
            <w:pPr>
              <w:rPr>
                <w:rFonts w:cs="Arial"/>
                <w:szCs w:val="24"/>
              </w:rPr>
            </w:pPr>
            <w:r w:rsidRPr="00C6091D">
              <w:rPr>
                <w:rFonts w:cs="Arial"/>
                <w:szCs w:val="24"/>
              </w:rPr>
              <w:t>18</w:t>
            </w:r>
          </w:p>
        </w:tc>
      </w:tr>
      <w:tr w:rsidR="000E6874" w:rsidRPr="00C6091D" w:rsidTr="004B3F2D">
        <w:tc>
          <w:tcPr>
            <w:tcW w:w="1273" w:type="dxa"/>
          </w:tcPr>
          <w:p w:rsidR="000E6874" w:rsidRPr="00C6091D" w:rsidRDefault="000E6874" w:rsidP="00883B4E">
            <w:pPr>
              <w:rPr>
                <w:rFonts w:cs="Arial"/>
                <w:szCs w:val="24"/>
              </w:rPr>
            </w:pPr>
            <w:r w:rsidRPr="00C6091D">
              <w:rPr>
                <w:rFonts w:cs="Arial"/>
                <w:szCs w:val="24"/>
              </w:rPr>
              <w:t>06/09/13</w:t>
            </w:r>
          </w:p>
        </w:tc>
        <w:tc>
          <w:tcPr>
            <w:tcW w:w="2663" w:type="dxa"/>
          </w:tcPr>
          <w:p w:rsidR="000E6874" w:rsidRPr="00C6091D" w:rsidRDefault="000E6874" w:rsidP="00883B4E">
            <w:pPr>
              <w:rPr>
                <w:rFonts w:cs="Arial"/>
                <w:szCs w:val="24"/>
              </w:rPr>
            </w:pPr>
            <w:r w:rsidRPr="00C6091D">
              <w:rPr>
                <w:rFonts w:cs="Arial"/>
                <w:szCs w:val="24"/>
              </w:rPr>
              <w:t>Property investment and Private Equity Strategy</w:t>
            </w:r>
          </w:p>
        </w:tc>
        <w:tc>
          <w:tcPr>
            <w:tcW w:w="2976" w:type="dxa"/>
          </w:tcPr>
          <w:p w:rsidR="000E6874" w:rsidRPr="00C6091D" w:rsidRDefault="000E6874" w:rsidP="00883B4E">
            <w:pPr>
              <w:rPr>
                <w:rFonts w:cs="Arial"/>
                <w:szCs w:val="24"/>
              </w:rPr>
            </w:pPr>
            <w:r w:rsidRPr="00C6091D">
              <w:rPr>
                <w:rFonts w:cs="Arial"/>
                <w:szCs w:val="24"/>
              </w:rPr>
              <w:t>Internal – Chief investment Officer</w:t>
            </w:r>
          </w:p>
        </w:tc>
        <w:tc>
          <w:tcPr>
            <w:tcW w:w="1985" w:type="dxa"/>
          </w:tcPr>
          <w:p w:rsidR="000E6874" w:rsidRPr="00C6091D" w:rsidRDefault="000E6874" w:rsidP="00883B4E">
            <w:pPr>
              <w:rPr>
                <w:rFonts w:cs="Arial"/>
                <w:szCs w:val="24"/>
              </w:rPr>
            </w:pPr>
            <w:r w:rsidRPr="00C6091D">
              <w:rPr>
                <w:rFonts w:cs="Arial"/>
                <w:szCs w:val="24"/>
              </w:rPr>
              <w:t>County Hall, Preston</w:t>
            </w:r>
          </w:p>
        </w:tc>
        <w:tc>
          <w:tcPr>
            <w:tcW w:w="1417" w:type="dxa"/>
          </w:tcPr>
          <w:p w:rsidR="000E6874" w:rsidRDefault="000E6874" w:rsidP="00883B4E">
            <w:pPr>
              <w:rPr>
                <w:rFonts w:cs="Arial"/>
                <w:szCs w:val="24"/>
              </w:rPr>
            </w:pPr>
            <w:r w:rsidRPr="00C6091D">
              <w:rPr>
                <w:rFonts w:cs="Arial"/>
                <w:szCs w:val="24"/>
              </w:rPr>
              <w:t>15</w:t>
            </w:r>
          </w:p>
          <w:p w:rsidR="00AA3BB9" w:rsidRDefault="00AA3BB9" w:rsidP="00883B4E">
            <w:pPr>
              <w:rPr>
                <w:rFonts w:cs="Arial"/>
                <w:szCs w:val="24"/>
              </w:rPr>
            </w:pPr>
          </w:p>
          <w:p w:rsidR="00AA3BB9" w:rsidRDefault="00AA3BB9" w:rsidP="00883B4E">
            <w:pPr>
              <w:rPr>
                <w:rFonts w:cs="Arial"/>
                <w:szCs w:val="24"/>
              </w:rPr>
            </w:pPr>
          </w:p>
          <w:p w:rsidR="00AA3BB9" w:rsidRPr="00C6091D" w:rsidRDefault="00AA3BB9" w:rsidP="00883B4E">
            <w:pPr>
              <w:rPr>
                <w:rFonts w:cs="Arial"/>
                <w:szCs w:val="24"/>
              </w:rPr>
            </w:pPr>
          </w:p>
        </w:tc>
      </w:tr>
      <w:tr w:rsidR="000E6874" w:rsidRPr="00C6091D" w:rsidTr="004B3F2D">
        <w:tc>
          <w:tcPr>
            <w:tcW w:w="1273" w:type="dxa"/>
          </w:tcPr>
          <w:p w:rsidR="000E6874" w:rsidRPr="00C6091D" w:rsidRDefault="000E6874" w:rsidP="00883B4E">
            <w:pPr>
              <w:rPr>
                <w:rFonts w:cs="Arial"/>
                <w:szCs w:val="24"/>
              </w:rPr>
            </w:pPr>
            <w:r w:rsidRPr="00C6091D">
              <w:rPr>
                <w:rFonts w:cs="Arial"/>
                <w:szCs w:val="24"/>
              </w:rPr>
              <w:t>29/11/13</w:t>
            </w:r>
          </w:p>
        </w:tc>
        <w:tc>
          <w:tcPr>
            <w:tcW w:w="2663" w:type="dxa"/>
          </w:tcPr>
          <w:p w:rsidR="000E6874" w:rsidRPr="00C6091D" w:rsidRDefault="000E6874" w:rsidP="00883B4E">
            <w:pPr>
              <w:rPr>
                <w:rFonts w:cs="Arial"/>
                <w:szCs w:val="24"/>
              </w:rPr>
            </w:pPr>
            <w:r w:rsidRPr="00C6091D">
              <w:rPr>
                <w:rFonts w:cs="Arial"/>
                <w:szCs w:val="24"/>
              </w:rPr>
              <w:t>The role of the Fund's Actuary and the 2013 Valuation</w:t>
            </w:r>
          </w:p>
        </w:tc>
        <w:tc>
          <w:tcPr>
            <w:tcW w:w="2976" w:type="dxa"/>
          </w:tcPr>
          <w:p w:rsidR="000E6874" w:rsidRPr="00C6091D" w:rsidRDefault="000E6874" w:rsidP="00AA3BB9">
            <w:pPr>
              <w:rPr>
                <w:rFonts w:cs="Arial"/>
                <w:szCs w:val="24"/>
              </w:rPr>
            </w:pPr>
            <w:r w:rsidRPr="00C6091D">
              <w:rPr>
                <w:rFonts w:cs="Arial"/>
                <w:szCs w:val="24"/>
              </w:rPr>
              <w:t>John Livesey</w:t>
            </w:r>
            <w:r w:rsidR="00AA3BB9">
              <w:rPr>
                <w:rFonts w:cs="Arial"/>
                <w:szCs w:val="24"/>
              </w:rPr>
              <w:t xml:space="preserve"> -</w:t>
            </w:r>
            <w:r w:rsidRPr="00C6091D">
              <w:rPr>
                <w:rFonts w:cs="Arial"/>
                <w:szCs w:val="24"/>
              </w:rPr>
              <w:t xml:space="preserve"> Mercers</w:t>
            </w:r>
          </w:p>
        </w:tc>
        <w:tc>
          <w:tcPr>
            <w:tcW w:w="1985" w:type="dxa"/>
          </w:tcPr>
          <w:p w:rsidR="000E6874" w:rsidRPr="00C6091D" w:rsidRDefault="000E6874" w:rsidP="00883B4E">
            <w:pPr>
              <w:rPr>
                <w:rFonts w:cs="Arial"/>
                <w:szCs w:val="24"/>
              </w:rPr>
            </w:pPr>
            <w:r w:rsidRPr="00C6091D">
              <w:rPr>
                <w:rFonts w:cs="Arial"/>
                <w:szCs w:val="24"/>
              </w:rPr>
              <w:t>County Hall, Preston</w:t>
            </w:r>
          </w:p>
        </w:tc>
        <w:tc>
          <w:tcPr>
            <w:tcW w:w="1417" w:type="dxa"/>
          </w:tcPr>
          <w:p w:rsidR="000E6874" w:rsidRPr="00C6091D" w:rsidRDefault="000E6874" w:rsidP="00883B4E">
            <w:pPr>
              <w:rPr>
                <w:rFonts w:cs="Arial"/>
                <w:szCs w:val="24"/>
              </w:rPr>
            </w:pPr>
            <w:r w:rsidRPr="00C6091D">
              <w:rPr>
                <w:rFonts w:cs="Arial"/>
                <w:szCs w:val="24"/>
              </w:rPr>
              <w:t>14</w:t>
            </w:r>
          </w:p>
        </w:tc>
      </w:tr>
      <w:tr w:rsidR="000E6874" w:rsidRPr="00C6091D" w:rsidTr="004B3F2D">
        <w:tc>
          <w:tcPr>
            <w:tcW w:w="1273" w:type="dxa"/>
          </w:tcPr>
          <w:p w:rsidR="000E6874" w:rsidRPr="00C6091D" w:rsidRDefault="000E6874" w:rsidP="00883B4E">
            <w:pPr>
              <w:rPr>
                <w:rFonts w:cs="Arial"/>
                <w:szCs w:val="24"/>
              </w:rPr>
            </w:pPr>
            <w:r w:rsidRPr="00C6091D">
              <w:rPr>
                <w:rFonts w:cs="Arial"/>
                <w:szCs w:val="24"/>
              </w:rPr>
              <w:t>15/01/14</w:t>
            </w:r>
          </w:p>
        </w:tc>
        <w:tc>
          <w:tcPr>
            <w:tcW w:w="2663" w:type="dxa"/>
          </w:tcPr>
          <w:p w:rsidR="000E6874" w:rsidRPr="00C6091D" w:rsidRDefault="000E6874" w:rsidP="00883B4E">
            <w:pPr>
              <w:rPr>
                <w:rFonts w:cs="Arial"/>
                <w:szCs w:val="24"/>
              </w:rPr>
            </w:pPr>
            <w:r w:rsidRPr="00C6091D">
              <w:rPr>
                <w:rFonts w:cs="Arial"/>
                <w:szCs w:val="24"/>
              </w:rPr>
              <w:t>Pension Fund Basics 1</w:t>
            </w:r>
          </w:p>
        </w:tc>
        <w:tc>
          <w:tcPr>
            <w:tcW w:w="2976" w:type="dxa"/>
          </w:tcPr>
          <w:p w:rsidR="000E6874" w:rsidRPr="00C6091D" w:rsidRDefault="000E6874" w:rsidP="00883B4E">
            <w:pPr>
              <w:rPr>
                <w:rFonts w:cs="Arial"/>
                <w:szCs w:val="24"/>
              </w:rPr>
            </w:pPr>
            <w:r w:rsidRPr="00C6091D">
              <w:rPr>
                <w:rFonts w:cs="Arial"/>
                <w:szCs w:val="24"/>
              </w:rPr>
              <w:t>Internal – Head of Public Market Investment</w:t>
            </w:r>
          </w:p>
        </w:tc>
        <w:tc>
          <w:tcPr>
            <w:tcW w:w="1985" w:type="dxa"/>
          </w:tcPr>
          <w:p w:rsidR="000E6874" w:rsidRPr="00C6091D" w:rsidRDefault="000E6874" w:rsidP="00883B4E">
            <w:pPr>
              <w:rPr>
                <w:rFonts w:cs="Arial"/>
                <w:szCs w:val="24"/>
              </w:rPr>
            </w:pPr>
            <w:r w:rsidRPr="00C6091D">
              <w:rPr>
                <w:rFonts w:cs="Arial"/>
                <w:szCs w:val="24"/>
              </w:rPr>
              <w:t>County Hall, Preston</w:t>
            </w:r>
          </w:p>
        </w:tc>
        <w:tc>
          <w:tcPr>
            <w:tcW w:w="1417" w:type="dxa"/>
          </w:tcPr>
          <w:p w:rsidR="000E6874" w:rsidRPr="00C6091D" w:rsidRDefault="000E6874" w:rsidP="00883B4E">
            <w:pPr>
              <w:rPr>
                <w:rFonts w:cs="Arial"/>
                <w:szCs w:val="24"/>
              </w:rPr>
            </w:pPr>
            <w:r w:rsidRPr="00C6091D">
              <w:rPr>
                <w:rFonts w:cs="Arial"/>
                <w:szCs w:val="24"/>
              </w:rPr>
              <w:t>13</w:t>
            </w:r>
          </w:p>
        </w:tc>
      </w:tr>
      <w:tr w:rsidR="000E6874" w:rsidRPr="00C6091D" w:rsidTr="004B3F2D">
        <w:tc>
          <w:tcPr>
            <w:tcW w:w="1273" w:type="dxa"/>
          </w:tcPr>
          <w:p w:rsidR="000E6874" w:rsidRPr="00C6091D" w:rsidRDefault="000E6874" w:rsidP="00883B4E">
            <w:pPr>
              <w:rPr>
                <w:rFonts w:cs="Arial"/>
                <w:szCs w:val="24"/>
              </w:rPr>
            </w:pPr>
            <w:r w:rsidRPr="00C6091D">
              <w:rPr>
                <w:rFonts w:cs="Arial"/>
                <w:szCs w:val="24"/>
              </w:rPr>
              <w:t>12/02/14</w:t>
            </w:r>
          </w:p>
        </w:tc>
        <w:tc>
          <w:tcPr>
            <w:tcW w:w="2663" w:type="dxa"/>
          </w:tcPr>
          <w:p w:rsidR="000E6874" w:rsidRPr="00C6091D" w:rsidRDefault="000E6874" w:rsidP="00883B4E">
            <w:pPr>
              <w:rPr>
                <w:rFonts w:cs="Arial"/>
                <w:szCs w:val="24"/>
              </w:rPr>
            </w:pPr>
            <w:r w:rsidRPr="00C6091D">
              <w:rPr>
                <w:rFonts w:cs="Arial"/>
                <w:szCs w:val="24"/>
              </w:rPr>
              <w:t>Pension Fund Basics 2</w:t>
            </w:r>
          </w:p>
        </w:tc>
        <w:tc>
          <w:tcPr>
            <w:tcW w:w="2976" w:type="dxa"/>
          </w:tcPr>
          <w:p w:rsidR="000E6874" w:rsidRPr="00C6091D" w:rsidRDefault="000E6874" w:rsidP="00883B4E">
            <w:pPr>
              <w:rPr>
                <w:rFonts w:cs="Arial"/>
                <w:szCs w:val="24"/>
              </w:rPr>
            </w:pPr>
            <w:r w:rsidRPr="00C6091D">
              <w:rPr>
                <w:rFonts w:cs="Arial"/>
                <w:szCs w:val="24"/>
              </w:rPr>
              <w:t>Internal – Head of Public Market Investment</w:t>
            </w:r>
          </w:p>
        </w:tc>
        <w:tc>
          <w:tcPr>
            <w:tcW w:w="1985" w:type="dxa"/>
          </w:tcPr>
          <w:p w:rsidR="000E6874" w:rsidRPr="00C6091D" w:rsidRDefault="000E6874" w:rsidP="00883B4E">
            <w:pPr>
              <w:rPr>
                <w:rFonts w:cs="Arial"/>
                <w:szCs w:val="24"/>
              </w:rPr>
            </w:pPr>
            <w:r w:rsidRPr="00C6091D">
              <w:rPr>
                <w:rFonts w:cs="Arial"/>
                <w:szCs w:val="24"/>
              </w:rPr>
              <w:t>County Hall, Preston</w:t>
            </w:r>
          </w:p>
        </w:tc>
        <w:tc>
          <w:tcPr>
            <w:tcW w:w="1417" w:type="dxa"/>
          </w:tcPr>
          <w:p w:rsidR="000E6874" w:rsidRPr="00C6091D" w:rsidRDefault="000E6874" w:rsidP="00883B4E">
            <w:pPr>
              <w:rPr>
                <w:rFonts w:cs="Arial"/>
                <w:szCs w:val="24"/>
              </w:rPr>
            </w:pPr>
            <w:r w:rsidRPr="00C6091D">
              <w:rPr>
                <w:rFonts w:cs="Arial"/>
                <w:szCs w:val="24"/>
              </w:rPr>
              <w:t>14</w:t>
            </w:r>
          </w:p>
          <w:p w:rsidR="000E6874" w:rsidRPr="00C6091D" w:rsidRDefault="000E6874" w:rsidP="00883B4E">
            <w:pPr>
              <w:rPr>
                <w:rFonts w:cs="Arial"/>
                <w:szCs w:val="24"/>
              </w:rPr>
            </w:pPr>
          </w:p>
        </w:tc>
      </w:tr>
      <w:tr w:rsidR="000E6874" w:rsidRPr="00C6091D" w:rsidTr="004B3F2D">
        <w:tc>
          <w:tcPr>
            <w:tcW w:w="1273" w:type="dxa"/>
          </w:tcPr>
          <w:p w:rsidR="000E6874" w:rsidRPr="00C6091D" w:rsidRDefault="000E6874" w:rsidP="00883B4E">
            <w:pPr>
              <w:rPr>
                <w:rFonts w:cs="Arial"/>
                <w:szCs w:val="24"/>
              </w:rPr>
            </w:pPr>
            <w:r w:rsidRPr="00C6091D">
              <w:rPr>
                <w:rFonts w:cs="Arial"/>
                <w:szCs w:val="24"/>
              </w:rPr>
              <w:t>20/03/14</w:t>
            </w:r>
          </w:p>
        </w:tc>
        <w:tc>
          <w:tcPr>
            <w:tcW w:w="2663" w:type="dxa"/>
          </w:tcPr>
          <w:p w:rsidR="000E6874" w:rsidRPr="00C6091D" w:rsidRDefault="000E6874" w:rsidP="00883B4E">
            <w:pPr>
              <w:rPr>
                <w:rFonts w:cs="Arial"/>
                <w:szCs w:val="24"/>
              </w:rPr>
            </w:pPr>
            <w:r w:rsidRPr="00C6091D">
              <w:rPr>
                <w:rFonts w:cs="Arial"/>
                <w:szCs w:val="24"/>
              </w:rPr>
              <w:t>Environmental, Social and Governance Investment Strategy</w:t>
            </w:r>
          </w:p>
        </w:tc>
        <w:tc>
          <w:tcPr>
            <w:tcW w:w="2976" w:type="dxa"/>
          </w:tcPr>
          <w:p w:rsidR="000E6874" w:rsidRPr="00C6091D" w:rsidRDefault="000E6874" w:rsidP="00883B4E">
            <w:pPr>
              <w:rPr>
                <w:rFonts w:cs="Arial"/>
                <w:szCs w:val="24"/>
              </w:rPr>
            </w:pPr>
            <w:r w:rsidRPr="00C6091D">
              <w:rPr>
                <w:rFonts w:cs="Arial"/>
                <w:szCs w:val="24"/>
              </w:rPr>
              <w:t>Seminar</w:t>
            </w:r>
          </w:p>
        </w:tc>
        <w:tc>
          <w:tcPr>
            <w:tcW w:w="1985" w:type="dxa"/>
          </w:tcPr>
          <w:p w:rsidR="000E6874" w:rsidRPr="00C6091D" w:rsidRDefault="000E6874" w:rsidP="00883B4E">
            <w:pPr>
              <w:rPr>
                <w:rFonts w:cs="Arial"/>
                <w:szCs w:val="24"/>
              </w:rPr>
            </w:pPr>
            <w:r w:rsidRPr="00C6091D">
              <w:rPr>
                <w:rFonts w:cs="Arial"/>
                <w:szCs w:val="24"/>
              </w:rPr>
              <w:t>Merseyside Pension Fund</w:t>
            </w:r>
          </w:p>
        </w:tc>
        <w:tc>
          <w:tcPr>
            <w:tcW w:w="1417" w:type="dxa"/>
          </w:tcPr>
          <w:p w:rsidR="000E6874" w:rsidRPr="00C6091D" w:rsidRDefault="000E6874" w:rsidP="00883B4E">
            <w:pPr>
              <w:rPr>
                <w:rFonts w:cs="Arial"/>
                <w:szCs w:val="24"/>
              </w:rPr>
            </w:pPr>
            <w:r w:rsidRPr="00C6091D">
              <w:rPr>
                <w:rFonts w:cs="Arial"/>
                <w:szCs w:val="24"/>
              </w:rPr>
              <w:t>2</w:t>
            </w:r>
          </w:p>
        </w:tc>
      </w:tr>
    </w:tbl>
    <w:p w:rsidR="00480191" w:rsidRDefault="00480191" w:rsidP="00480191">
      <w:pPr>
        <w:ind w:left="360"/>
      </w:pPr>
    </w:p>
    <w:p w:rsidR="00E31FB3" w:rsidRDefault="004B3F2D" w:rsidP="00480191">
      <w:pPr>
        <w:numPr>
          <w:ilvl w:val="0"/>
          <w:numId w:val="42"/>
        </w:numPr>
      </w:pPr>
      <w:r w:rsidRPr="00480191">
        <w:rPr>
          <w:b/>
          <w:sz w:val="28"/>
          <w:szCs w:val="28"/>
        </w:rPr>
        <w:lastRenderedPageBreak/>
        <w:t>Inv</w:t>
      </w:r>
      <w:r w:rsidR="00AA045D" w:rsidRPr="00480191">
        <w:rPr>
          <w:b/>
          <w:sz w:val="28"/>
          <w:szCs w:val="28"/>
        </w:rPr>
        <w:t>estment Policy and Performance</w:t>
      </w:r>
    </w:p>
    <w:p w:rsidR="00C333F3" w:rsidRPr="003A51FC" w:rsidRDefault="00C333F3" w:rsidP="00C333F3">
      <w:pPr>
        <w:rPr>
          <w:b/>
          <w:sz w:val="28"/>
          <w:szCs w:val="28"/>
          <w:highlight w:val="yellow"/>
        </w:rPr>
      </w:pPr>
    </w:p>
    <w:p w:rsidR="00CF1D42" w:rsidRPr="00AE221A" w:rsidRDefault="00CF1D42" w:rsidP="00CF1D42">
      <w:pPr>
        <w:autoSpaceDE w:val="0"/>
        <w:autoSpaceDN w:val="0"/>
        <w:adjustRightInd w:val="0"/>
        <w:rPr>
          <w:rFonts w:ascii="Arial-BoldMT" w:hAnsi="Arial-BoldMT" w:cs="Arial-BoldMT"/>
          <w:b/>
          <w:bCs/>
          <w:szCs w:val="24"/>
        </w:rPr>
      </w:pPr>
      <w:r w:rsidRPr="00AE221A">
        <w:rPr>
          <w:rFonts w:ascii="Arial-BoldMT" w:hAnsi="Arial-BoldMT" w:cs="Arial-BoldMT"/>
          <w:b/>
          <w:bCs/>
          <w:szCs w:val="24"/>
        </w:rPr>
        <w:t>Structure</w:t>
      </w:r>
    </w:p>
    <w:p w:rsidR="00CF1D42" w:rsidRPr="00FA67FD" w:rsidRDefault="00CF1D42" w:rsidP="00CF1D42">
      <w:pPr>
        <w:autoSpaceDE w:val="0"/>
        <w:autoSpaceDN w:val="0"/>
        <w:adjustRightInd w:val="0"/>
        <w:rPr>
          <w:rFonts w:ascii="Arial-BoldMT" w:hAnsi="Arial-BoldMT" w:cs="Arial-BoldMT"/>
          <w:b/>
          <w:bCs/>
          <w:szCs w:val="24"/>
          <w:highlight w:val="yellow"/>
        </w:rPr>
      </w:pPr>
    </w:p>
    <w:p w:rsidR="00AE221A" w:rsidRDefault="00AE221A" w:rsidP="00AE221A">
      <w:pPr>
        <w:autoSpaceDE w:val="0"/>
        <w:autoSpaceDN w:val="0"/>
        <w:adjustRightInd w:val="0"/>
        <w:rPr>
          <w:rFonts w:ascii="ArialMT" w:hAnsi="ArialMT" w:cs="ArialMT"/>
        </w:rPr>
      </w:pPr>
      <w:r w:rsidRPr="009234A6">
        <w:rPr>
          <w:rFonts w:ascii="ArialMT" w:hAnsi="ArialMT" w:cs="ArialMT"/>
        </w:rPr>
        <w:t xml:space="preserve">There are </w:t>
      </w:r>
      <w:r>
        <w:rPr>
          <w:rFonts w:ascii="ArialMT" w:hAnsi="ArialMT" w:cs="ArialMT"/>
        </w:rPr>
        <w:t>four</w:t>
      </w:r>
      <w:r w:rsidRPr="009234A6">
        <w:rPr>
          <w:rFonts w:ascii="ArialMT" w:hAnsi="ArialMT" w:cs="ArialMT"/>
        </w:rPr>
        <w:t xml:space="preserve"> levels of responsibility for the investment management of the Lancashire County Pension Fund. </w:t>
      </w:r>
    </w:p>
    <w:p w:rsidR="00AE221A" w:rsidRDefault="00AE221A" w:rsidP="00AE221A">
      <w:pPr>
        <w:autoSpaceDE w:val="0"/>
        <w:autoSpaceDN w:val="0"/>
        <w:adjustRightInd w:val="0"/>
        <w:rPr>
          <w:rFonts w:ascii="ArialMT" w:hAnsi="ArialMT" w:cs="ArialMT"/>
        </w:rPr>
      </w:pPr>
    </w:p>
    <w:p w:rsidR="00AE221A" w:rsidRDefault="00AE221A" w:rsidP="00AE221A">
      <w:pPr>
        <w:pStyle w:val="ListParagraph"/>
        <w:numPr>
          <w:ilvl w:val="0"/>
          <w:numId w:val="43"/>
        </w:numPr>
        <w:autoSpaceDE w:val="0"/>
        <w:autoSpaceDN w:val="0"/>
        <w:adjustRightInd w:val="0"/>
        <w:rPr>
          <w:rFonts w:ascii="ArialMT" w:hAnsi="ArialMT" w:cs="ArialMT"/>
        </w:rPr>
      </w:pPr>
      <w:r w:rsidRPr="00496AED">
        <w:rPr>
          <w:rFonts w:ascii="ArialMT" w:hAnsi="ArialMT" w:cs="ArialMT"/>
        </w:rPr>
        <w:t xml:space="preserve">The </w:t>
      </w:r>
      <w:r>
        <w:rPr>
          <w:rFonts w:ascii="ArialMT" w:hAnsi="ArialMT" w:cs="ArialMT"/>
        </w:rPr>
        <w:t>C</w:t>
      </w:r>
      <w:r w:rsidRPr="00496AED">
        <w:rPr>
          <w:rFonts w:ascii="ArialMT" w:hAnsi="ArialMT" w:cs="ArialMT"/>
        </w:rPr>
        <w:t xml:space="preserve">ounty </w:t>
      </w:r>
      <w:r>
        <w:rPr>
          <w:rFonts w:ascii="ArialMT" w:hAnsi="ArialMT" w:cs="ArialMT"/>
        </w:rPr>
        <w:t>C</w:t>
      </w:r>
      <w:r w:rsidRPr="00496AED">
        <w:rPr>
          <w:rFonts w:ascii="ArialMT" w:hAnsi="ArialMT" w:cs="ArialMT"/>
        </w:rPr>
        <w:t>ouncil’s Pension Fund Committee takes major policy decisions and monitors overall performance.</w:t>
      </w:r>
      <w:r>
        <w:rPr>
          <w:rFonts w:ascii="ArialMT" w:hAnsi="ArialMT" w:cs="ArialMT"/>
        </w:rPr>
        <w:t xml:space="preserve"> </w:t>
      </w:r>
      <w:r w:rsidRPr="002D39F0">
        <w:rPr>
          <w:rFonts w:ascii="ArialMT" w:hAnsi="ArialMT" w:cs="ArialMT"/>
        </w:rPr>
        <w:t xml:space="preserve">The Pension Fund Committee </w:t>
      </w:r>
      <w:r>
        <w:rPr>
          <w:rFonts w:ascii="ArialMT" w:hAnsi="ArialMT" w:cs="ArialMT"/>
        </w:rPr>
        <w:t xml:space="preserve">comprises fourteen </w:t>
      </w:r>
      <w:r w:rsidRPr="00496AED">
        <w:rPr>
          <w:rFonts w:ascii="ArialMT" w:hAnsi="ArialMT" w:cs="ArialMT"/>
        </w:rPr>
        <w:t xml:space="preserve">County Councillors and seven voting co-optees representing </w:t>
      </w:r>
      <w:r>
        <w:rPr>
          <w:rFonts w:ascii="ArialMT" w:hAnsi="ArialMT" w:cs="ArialMT"/>
        </w:rPr>
        <w:t>o</w:t>
      </w:r>
      <w:r w:rsidRPr="00496AED">
        <w:rPr>
          <w:rFonts w:ascii="ArialMT" w:hAnsi="ArialMT" w:cs="ArialMT"/>
        </w:rPr>
        <w:t>the</w:t>
      </w:r>
      <w:r>
        <w:rPr>
          <w:rFonts w:ascii="ArialMT" w:hAnsi="ArialMT" w:cs="ArialMT"/>
        </w:rPr>
        <w:t>r interested organisations;</w:t>
      </w:r>
    </w:p>
    <w:p w:rsidR="00AE221A" w:rsidRPr="00496AED" w:rsidRDefault="00AE221A" w:rsidP="00AE221A">
      <w:pPr>
        <w:pStyle w:val="ListParagraph"/>
        <w:autoSpaceDE w:val="0"/>
        <w:autoSpaceDN w:val="0"/>
        <w:adjustRightInd w:val="0"/>
        <w:rPr>
          <w:rFonts w:ascii="ArialMT" w:hAnsi="ArialMT" w:cs="ArialMT"/>
        </w:rPr>
      </w:pPr>
    </w:p>
    <w:p w:rsidR="00AE221A" w:rsidRDefault="00AE221A" w:rsidP="00AE221A">
      <w:pPr>
        <w:pStyle w:val="ListParagraph"/>
        <w:numPr>
          <w:ilvl w:val="0"/>
          <w:numId w:val="43"/>
        </w:numPr>
        <w:autoSpaceDE w:val="0"/>
        <w:autoSpaceDN w:val="0"/>
        <w:adjustRightInd w:val="0"/>
        <w:rPr>
          <w:rFonts w:ascii="ArialMT" w:hAnsi="ArialMT" w:cs="ArialMT"/>
        </w:rPr>
      </w:pPr>
      <w:r w:rsidRPr="003376AB">
        <w:rPr>
          <w:rFonts w:ascii="ArialMT" w:hAnsi="ArialMT" w:cs="ArialMT"/>
        </w:rPr>
        <w:t xml:space="preserve">The Investment Panel recommends specific investment allocations in line with the Committee's policy decisions, approves individual investments and monitors the activity of the Fund’s external managers. The Investment Panel consists of two independent external investment advisers, the Chief Investment Officer, the Deputy County Treasurer and the Treasurer to the </w:t>
      </w:r>
      <w:r>
        <w:rPr>
          <w:rFonts w:ascii="ArialMT" w:hAnsi="ArialMT" w:cs="ArialMT"/>
        </w:rPr>
        <w:t>Pension Fund, who acts as Chair;</w:t>
      </w:r>
    </w:p>
    <w:p w:rsidR="00AE221A" w:rsidRPr="003376AB" w:rsidRDefault="00AE221A" w:rsidP="00AE221A">
      <w:pPr>
        <w:pStyle w:val="ListParagraph"/>
        <w:autoSpaceDE w:val="0"/>
        <w:autoSpaceDN w:val="0"/>
        <w:adjustRightInd w:val="0"/>
        <w:rPr>
          <w:rFonts w:ascii="ArialMT" w:hAnsi="ArialMT" w:cs="ArialMT"/>
        </w:rPr>
      </w:pPr>
    </w:p>
    <w:p w:rsidR="00AE221A" w:rsidRDefault="00AE221A" w:rsidP="00AE221A">
      <w:pPr>
        <w:pStyle w:val="ListParagraph"/>
        <w:numPr>
          <w:ilvl w:val="0"/>
          <w:numId w:val="43"/>
        </w:numPr>
        <w:autoSpaceDE w:val="0"/>
        <w:autoSpaceDN w:val="0"/>
        <w:adjustRightInd w:val="0"/>
        <w:rPr>
          <w:rFonts w:ascii="ArialMT" w:hAnsi="ArialMT" w:cs="ArialMT"/>
        </w:rPr>
      </w:pPr>
      <w:r w:rsidRPr="00496AED">
        <w:rPr>
          <w:rFonts w:ascii="ArialMT" w:hAnsi="ArialMT" w:cs="ArialMT"/>
        </w:rPr>
        <w:t>The investment management team of Fund employees undertake day-to-day investment fund selection, monitoring and due-diligence</w:t>
      </w:r>
      <w:r>
        <w:rPr>
          <w:rFonts w:ascii="ArialMT" w:hAnsi="ArialMT" w:cs="ArialMT"/>
        </w:rPr>
        <w:t>;</w:t>
      </w:r>
      <w:r w:rsidRPr="00496AED">
        <w:rPr>
          <w:rFonts w:ascii="ArialMT" w:hAnsi="ArialMT" w:cs="ArialMT"/>
        </w:rPr>
        <w:t xml:space="preserve"> </w:t>
      </w:r>
    </w:p>
    <w:p w:rsidR="00AE221A" w:rsidRDefault="00AE221A" w:rsidP="00AE221A">
      <w:pPr>
        <w:pStyle w:val="ListParagraph"/>
        <w:autoSpaceDE w:val="0"/>
        <w:autoSpaceDN w:val="0"/>
        <w:adjustRightInd w:val="0"/>
        <w:rPr>
          <w:rFonts w:ascii="ArialMT" w:hAnsi="ArialMT" w:cs="ArialMT"/>
        </w:rPr>
      </w:pPr>
    </w:p>
    <w:p w:rsidR="00AE221A" w:rsidRDefault="00AE221A" w:rsidP="00AE221A">
      <w:pPr>
        <w:pStyle w:val="ListParagraph"/>
        <w:numPr>
          <w:ilvl w:val="0"/>
          <w:numId w:val="43"/>
        </w:numPr>
        <w:autoSpaceDE w:val="0"/>
        <w:autoSpaceDN w:val="0"/>
        <w:adjustRightInd w:val="0"/>
        <w:rPr>
          <w:rFonts w:ascii="ArialMT" w:hAnsi="ArialMT" w:cs="ArialMT"/>
        </w:rPr>
      </w:pPr>
      <w:r w:rsidRPr="00496AED">
        <w:rPr>
          <w:rFonts w:ascii="ArialMT" w:hAnsi="ArialMT" w:cs="ArialMT"/>
        </w:rPr>
        <w:t>Finally, external investment managers (or managers of unitised investments held by the Fund) fix precise weightings and select the individual investments within their particular remit</w:t>
      </w:r>
      <w:r>
        <w:rPr>
          <w:rFonts w:ascii="ArialMT" w:hAnsi="ArialMT" w:cs="ArialMT"/>
        </w:rPr>
        <w:t>.</w:t>
      </w:r>
    </w:p>
    <w:p w:rsidR="00AE221A" w:rsidRDefault="00AE221A" w:rsidP="00AE221A">
      <w:pPr>
        <w:autoSpaceDE w:val="0"/>
        <w:autoSpaceDN w:val="0"/>
        <w:adjustRightInd w:val="0"/>
        <w:rPr>
          <w:rFonts w:ascii="ArialMT" w:hAnsi="ArialMT" w:cs="ArialMT"/>
        </w:rPr>
      </w:pPr>
    </w:p>
    <w:p w:rsidR="00AE221A" w:rsidRPr="00496AED" w:rsidRDefault="00AE221A" w:rsidP="00AE221A">
      <w:pPr>
        <w:autoSpaceDE w:val="0"/>
        <w:autoSpaceDN w:val="0"/>
        <w:adjustRightInd w:val="0"/>
        <w:rPr>
          <w:rFonts w:ascii="ArialMT" w:hAnsi="ArialMT" w:cs="ArialMT"/>
        </w:rPr>
      </w:pPr>
      <w:r w:rsidRPr="00496AED">
        <w:rPr>
          <w:rFonts w:ascii="ArialMT" w:hAnsi="ArialMT" w:cs="ArialMT"/>
        </w:rPr>
        <w:t xml:space="preserve">A more detailed description of the responsibilities of the Committee, its Sub-Committees and the Panel is found in the Governance Policy Statement. </w:t>
      </w:r>
      <w:hyperlink r:id="rId19" w:history="1">
        <w:r w:rsidRPr="003376AB">
          <w:rPr>
            <w:rStyle w:val="Hyperlink"/>
            <w:rFonts w:ascii="ArialMT" w:hAnsi="ArialMT" w:cs="ArialMT"/>
          </w:rPr>
          <w:t>Governance Policy Statement</w:t>
        </w:r>
      </w:hyperlink>
    </w:p>
    <w:p w:rsidR="00AE221A" w:rsidRDefault="00AE221A">
      <w:pPr>
        <w:ind w:left="360"/>
        <w:rPr>
          <w:rFonts w:ascii="ArialMT" w:hAnsi="ArialMT" w:cs="ArialMT"/>
          <w:szCs w:val="24"/>
          <w:highlight w:val="yellow"/>
        </w:rPr>
      </w:pPr>
    </w:p>
    <w:p w:rsidR="00AE221A" w:rsidRDefault="00480191" w:rsidP="00AE221A">
      <w:pPr>
        <w:autoSpaceDE w:val="0"/>
        <w:autoSpaceDN w:val="0"/>
        <w:adjustRightInd w:val="0"/>
        <w:rPr>
          <w:rFonts w:ascii="ArialMT" w:hAnsi="ArialMT" w:cs="ArialMT"/>
        </w:rPr>
      </w:pPr>
      <w:r>
        <w:rPr>
          <w:rFonts w:ascii="ArialMT" w:hAnsi="ArialMT" w:cs="ArialMT"/>
        </w:rPr>
        <w:t>In line with</w:t>
      </w:r>
      <w:r w:rsidR="00AE221A">
        <w:rPr>
          <w:rFonts w:ascii="ArialMT" w:hAnsi="ArialMT" w:cs="ArialMT"/>
        </w:rPr>
        <w:t xml:space="preserve"> the investment strategy adopted by the Pension Fund Committee in 2010 and more detailed sub-strategies adopted since then, the Fund's investments are divided into four principal sub groups as follows:</w:t>
      </w:r>
    </w:p>
    <w:p w:rsidR="00AE221A" w:rsidRDefault="00AE221A" w:rsidP="00AE221A">
      <w:pPr>
        <w:autoSpaceDE w:val="0"/>
        <w:autoSpaceDN w:val="0"/>
        <w:adjustRightInd w:val="0"/>
        <w:rPr>
          <w:rFonts w:ascii="ArialMT" w:hAnsi="ArialMT" w:cs="ArialMT"/>
        </w:rPr>
      </w:pPr>
    </w:p>
    <w:p w:rsidR="00AE221A" w:rsidRDefault="00AE221A" w:rsidP="00AE221A">
      <w:pPr>
        <w:autoSpaceDE w:val="0"/>
        <w:autoSpaceDN w:val="0"/>
        <w:adjustRightInd w:val="0"/>
        <w:rPr>
          <w:rFonts w:ascii="ArialMT" w:hAnsi="ArialMT" w:cs="ArialMT"/>
        </w:rPr>
      </w:pPr>
      <w:r w:rsidRPr="00496AED">
        <w:rPr>
          <w:rFonts w:ascii="ArialMT" w:hAnsi="ArialMT" w:cs="ArialMT"/>
          <w:b/>
        </w:rPr>
        <w:t>Equities:</w:t>
      </w:r>
      <w:r>
        <w:rPr>
          <w:rFonts w:ascii="ArialMT" w:hAnsi="ArialMT" w:cs="ArialMT"/>
        </w:rPr>
        <w:t xml:space="preserve">  The Fund holds both public and private equity investments.  The public equity investments are managed by five active managers who operate differing and compl</w:t>
      </w:r>
      <w:r w:rsidR="00871C1A">
        <w:rPr>
          <w:rFonts w:ascii="ArialMT" w:hAnsi="ArialMT" w:cs="ArialMT"/>
        </w:rPr>
        <w:t>e</w:t>
      </w:r>
      <w:r>
        <w:rPr>
          <w:rFonts w:ascii="ArialMT" w:hAnsi="ArialMT" w:cs="ArialMT"/>
        </w:rPr>
        <w:t>mentary styles of investment selection and two unitised investment funds.  The remit of six of these seven pools is unconstrained, high conviction investment in Global equities.  The final manager has a remit to invest in emerging market equities.  Private equity investments are held through a variety of closed-ended limited partnerships, invested over a wide range of inception dates and managed by a diverse collection of different managers all under the oversight of Capital Dynamics.</w:t>
      </w:r>
    </w:p>
    <w:p w:rsidR="00AE221A" w:rsidRPr="009234A6" w:rsidRDefault="00AE221A" w:rsidP="00AE221A">
      <w:pPr>
        <w:autoSpaceDE w:val="0"/>
        <w:autoSpaceDN w:val="0"/>
        <w:adjustRightInd w:val="0"/>
        <w:rPr>
          <w:rFonts w:ascii="ArialMT" w:hAnsi="ArialMT" w:cs="ArialMT"/>
        </w:rPr>
      </w:pPr>
    </w:p>
    <w:p w:rsidR="00AE221A" w:rsidRDefault="00A816DF" w:rsidP="00AE221A">
      <w:pPr>
        <w:autoSpaceDE w:val="0"/>
        <w:autoSpaceDN w:val="0"/>
        <w:adjustRightInd w:val="0"/>
        <w:rPr>
          <w:rFonts w:ascii="ArialMT" w:hAnsi="ArialMT" w:cs="ArialMT"/>
        </w:rPr>
      </w:pPr>
      <w:r>
        <w:rPr>
          <w:rFonts w:ascii="ArialMT" w:hAnsi="ArialMT" w:cs="ArialMT"/>
          <w:b/>
        </w:rPr>
        <w:t>Property</w:t>
      </w:r>
      <w:r w:rsidR="00AE221A" w:rsidRPr="00496AED">
        <w:rPr>
          <w:rFonts w:ascii="ArialMT" w:hAnsi="ArialMT" w:cs="ArialMT"/>
          <w:b/>
        </w:rPr>
        <w:t>:</w:t>
      </w:r>
      <w:r w:rsidR="00AE221A">
        <w:rPr>
          <w:rFonts w:ascii="ArialMT" w:hAnsi="ArialMT" w:cs="ArialMT"/>
        </w:rPr>
        <w:t xml:space="preserve">  The Fund invests in a significant portfolio of directly owned UK commercial properties which are managed by Knight Frank.  In addition, the Fund has a small allocation to a unitised European real estate investment fund managed by M&amp;G.</w:t>
      </w:r>
    </w:p>
    <w:p w:rsidR="00AE221A" w:rsidRDefault="00AE221A" w:rsidP="00AE221A">
      <w:pPr>
        <w:autoSpaceDE w:val="0"/>
        <w:autoSpaceDN w:val="0"/>
        <w:adjustRightInd w:val="0"/>
        <w:rPr>
          <w:rFonts w:ascii="ArialMT" w:hAnsi="ArialMT" w:cs="ArialMT"/>
        </w:rPr>
      </w:pPr>
    </w:p>
    <w:p w:rsidR="00AE221A" w:rsidRDefault="00AE221A" w:rsidP="00AE221A">
      <w:pPr>
        <w:autoSpaceDE w:val="0"/>
        <w:autoSpaceDN w:val="0"/>
        <w:adjustRightInd w:val="0"/>
        <w:rPr>
          <w:rFonts w:ascii="ArialMT" w:hAnsi="ArialMT" w:cs="ArialMT"/>
        </w:rPr>
      </w:pPr>
      <w:r w:rsidRPr="00496AED">
        <w:rPr>
          <w:rFonts w:ascii="ArialMT" w:hAnsi="ArialMT" w:cs="ArialMT"/>
          <w:b/>
        </w:rPr>
        <w:t>Infrastructure:</w:t>
      </w:r>
      <w:r>
        <w:rPr>
          <w:rFonts w:ascii="ArialMT" w:hAnsi="ArialMT" w:cs="ArialMT"/>
        </w:rPr>
        <w:t xml:space="preserve"> The Fund has allocations to a number of different global infrastructure funds, and also invests directly in renewable energy infrastructure projects throughout the world through its majority-owned infrastructure partnership, Red Rose Infrastructure LLP.</w:t>
      </w:r>
    </w:p>
    <w:p w:rsidR="00871C1A" w:rsidRDefault="00871C1A" w:rsidP="00AE221A">
      <w:pPr>
        <w:autoSpaceDE w:val="0"/>
        <w:autoSpaceDN w:val="0"/>
        <w:adjustRightInd w:val="0"/>
        <w:rPr>
          <w:rFonts w:ascii="ArialMT" w:hAnsi="ArialMT" w:cs="ArialMT"/>
          <w:b/>
        </w:rPr>
      </w:pPr>
    </w:p>
    <w:p w:rsidR="00AE221A" w:rsidRDefault="00AE221A" w:rsidP="00AE221A">
      <w:pPr>
        <w:autoSpaceDE w:val="0"/>
        <w:autoSpaceDN w:val="0"/>
        <w:adjustRightInd w:val="0"/>
        <w:rPr>
          <w:rFonts w:ascii="ArialMT" w:hAnsi="ArialMT" w:cs="ArialMT"/>
        </w:rPr>
      </w:pPr>
      <w:r w:rsidRPr="00496AED">
        <w:rPr>
          <w:rFonts w:ascii="ArialMT" w:hAnsi="ArialMT" w:cs="ArialMT"/>
          <w:b/>
        </w:rPr>
        <w:t>Credit</w:t>
      </w:r>
      <w:r w:rsidR="00A816DF">
        <w:rPr>
          <w:rFonts w:ascii="ArialMT" w:hAnsi="ArialMT" w:cs="ArialMT"/>
          <w:b/>
        </w:rPr>
        <w:t xml:space="preserve"> strategies</w:t>
      </w:r>
      <w:r w:rsidRPr="00496AED">
        <w:rPr>
          <w:rFonts w:ascii="ArialMT" w:hAnsi="ArialMT" w:cs="ArialMT"/>
          <w:b/>
        </w:rPr>
        <w:t>:</w:t>
      </w:r>
      <w:r>
        <w:rPr>
          <w:rFonts w:ascii="ArialMT" w:hAnsi="ArialMT" w:cs="ArialMT"/>
        </w:rPr>
        <w:t xml:space="preserve"> The Fund has an internally managed portfolio of different types of credit investment, split into four broad categories – emerging markets sovereign debt, non-investment grade secured lending, cyclical credit opportunities and long-dated debt secured on real assets.  </w:t>
      </w:r>
      <w:r>
        <w:rPr>
          <w:rFonts w:ascii="ArialMT" w:hAnsi="ArialMT" w:cs="ArialMT"/>
        </w:rPr>
        <w:lastRenderedPageBreak/>
        <w:t>These investments include both direct loans made by the Fund and a variety of different externally managed funds.</w:t>
      </w:r>
    </w:p>
    <w:p w:rsidR="00AE221A" w:rsidRDefault="00AE221A" w:rsidP="00AE221A">
      <w:pPr>
        <w:autoSpaceDE w:val="0"/>
        <w:autoSpaceDN w:val="0"/>
        <w:adjustRightInd w:val="0"/>
        <w:rPr>
          <w:rFonts w:ascii="ArialMT" w:hAnsi="ArialMT" w:cs="ArialMT"/>
        </w:rPr>
      </w:pPr>
    </w:p>
    <w:p w:rsidR="00AE221A" w:rsidRDefault="00AE221A" w:rsidP="00AE221A">
      <w:pPr>
        <w:autoSpaceDE w:val="0"/>
        <w:autoSpaceDN w:val="0"/>
        <w:adjustRightInd w:val="0"/>
        <w:rPr>
          <w:rFonts w:ascii="ArialMT" w:hAnsi="ArialMT" w:cs="ArialMT"/>
        </w:rPr>
      </w:pPr>
      <w:r>
        <w:rPr>
          <w:rFonts w:ascii="ArialMT" w:hAnsi="ArialMT" w:cs="ArialMT"/>
        </w:rPr>
        <w:t>In addition, whilst the Fund continues to reallocate its investments in line with the revised investment strategy, amounts earmarked for future investments are held in transition accounts, cash, liquid bond funds and directly held investment grade bonds.</w:t>
      </w:r>
    </w:p>
    <w:p w:rsidR="00AE221A" w:rsidRPr="009234A6" w:rsidRDefault="00AE221A" w:rsidP="00AE221A">
      <w:pPr>
        <w:autoSpaceDE w:val="0"/>
        <w:autoSpaceDN w:val="0"/>
        <w:adjustRightInd w:val="0"/>
        <w:rPr>
          <w:rFonts w:ascii="ArialMT" w:hAnsi="ArialMT" w:cs="ArialMT"/>
        </w:rPr>
      </w:pPr>
      <w:r>
        <w:rPr>
          <w:rFonts w:ascii="ArialMT" w:hAnsi="ArialMT" w:cs="ArialMT"/>
        </w:rPr>
        <w:t xml:space="preserve"> </w:t>
      </w:r>
    </w:p>
    <w:p w:rsidR="00AE221A" w:rsidRDefault="00AE221A" w:rsidP="00AE221A">
      <w:pPr>
        <w:autoSpaceDE w:val="0"/>
        <w:autoSpaceDN w:val="0"/>
        <w:adjustRightInd w:val="0"/>
        <w:rPr>
          <w:rFonts w:ascii="ArialMT" w:hAnsi="ArialMT" w:cs="ArialMT"/>
        </w:rPr>
      </w:pPr>
      <w:r w:rsidRPr="009234A6">
        <w:rPr>
          <w:rFonts w:ascii="ArialMT" w:hAnsi="ArialMT" w:cs="ArialMT"/>
        </w:rPr>
        <w:t>A summary of portfolio values by investment manager, as at 31 March 2014, is shown below.</w:t>
      </w:r>
      <w:r w:rsidRPr="009234A6" w:rsidDel="003872DB">
        <w:rPr>
          <w:rFonts w:ascii="ArialMT" w:hAnsi="ArialMT" w:cs="ArialMT"/>
        </w:rPr>
        <w:t xml:space="preserve"> </w:t>
      </w:r>
    </w:p>
    <w:p w:rsidR="00323E71" w:rsidRDefault="00323E71" w:rsidP="00AE221A">
      <w:pPr>
        <w:autoSpaceDE w:val="0"/>
        <w:autoSpaceDN w:val="0"/>
        <w:adjustRightInd w:val="0"/>
        <w:rPr>
          <w:rFonts w:ascii="ArialMT" w:hAnsi="ArialMT" w:cs="ArialMT"/>
        </w:rPr>
      </w:pPr>
    </w:p>
    <w:p w:rsidR="00323E71" w:rsidRDefault="00323E71" w:rsidP="00AE221A">
      <w:pPr>
        <w:autoSpaceDE w:val="0"/>
        <w:autoSpaceDN w:val="0"/>
        <w:adjustRightInd w:val="0"/>
        <w:rPr>
          <w:rFonts w:ascii="ArialMT" w:hAnsi="ArialMT" w:cs="ArialMT"/>
        </w:rPr>
      </w:pPr>
      <w:r>
        <w:rPr>
          <w:rFonts w:ascii="ArialMT" w:hAnsi="ArialMT" w:cs="ArialMT"/>
          <w:noProof/>
        </w:rPr>
        <w:drawing>
          <wp:inline distT="0" distB="0" distL="0" distR="0" wp14:anchorId="7C9BF813">
            <wp:extent cx="6596380" cy="7145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6380" cy="7145020"/>
                    </a:xfrm>
                    <a:prstGeom prst="rect">
                      <a:avLst/>
                    </a:prstGeom>
                    <a:noFill/>
                  </pic:spPr>
                </pic:pic>
              </a:graphicData>
            </a:graphic>
          </wp:inline>
        </w:drawing>
      </w:r>
    </w:p>
    <w:p w:rsidR="00976312" w:rsidRDefault="00976312" w:rsidP="00AE221A">
      <w:pPr>
        <w:autoSpaceDE w:val="0"/>
        <w:autoSpaceDN w:val="0"/>
        <w:adjustRightInd w:val="0"/>
        <w:rPr>
          <w:rFonts w:ascii="ArialMT" w:hAnsi="ArialMT" w:cs="ArialMT"/>
        </w:rPr>
      </w:pPr>
    </w:p>
    <w:p w:rsidR="00976312" w:rsidRDefault="00976312" w:rsidP="00AE221A">
      <w:pPr>
        <w:autoSpaceDE w:val="0"/>
        <w:autoSpaceDN w:val="0"/>
        <w:adjustRightInd w:val="0"/>
        <w:rPr>
          <w:rFonts w:ascii="ArialMT" w:hAnsi="ArialMT" w:cs="ArialMT"/>
        </w:rPr>
      </w:pPr>
    </w:p>
    <w:p w:rsidR="00AE221A" w:rsidRDefault="00AE221A" w:rsidP="00AE221A">
      <w:pPr>
        <w:autoSpaceDE w:val="0"/>
        <w:autoSpaceDN w:val="0"/>
        <w:adjustRightInd w:val="0"/>
        <w:rPr>
          <w:rFonts w:ascii="ArialMT" w:hAnsi="ArialMT" w:cs="ArialMT"/>
        </w:rPr>
      </w:pPr>
    </w:p>
    <w:p w:rsidR="00323E71" w:rsidRDefault="00323E71" w:rsidP="00AE221A">
      <w:pPr>
        <w:autoSpaceDE w:val="0"/>
        <w:autoSpaceDN w:val="0"/>
        <w:adjustRightInd w:val="0"/>
        <w:rPr>
          <w:rFonts w:ascii="ArialMT" w:hAnsi="ArialMT" w:cs="ArialMT"/>
        </w:rPr>
      </w:pPr>
      <w:r>
        <w:rPr>
          <w:rFonts w:ascii="ArialMT" w:hAnsi="ArialMT" w:cs="ArialMT"/>
          <w:noProof/>
        </w:rPr>
        <w:drawing>
          <wp:inline distT="0" distB="0" distL="0" distR="0" wp14:anchorId="490BAE46">
            <wp:extent cx="6621145" cy="3706495"/>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145" cy="3706495"/>
                    </a:xfrm>
                    <a:prstGeom prst="rect">
                      <a:avLst/>
                    </a:prstGeom>
                    <a:noFill/>
                  </pic:spPr>
                </pic:pic>
              </a:graphicData>
            </a:graphic>
          </wp:inline>
        </w:drawing>
      </w:r>
    </w:p>
    <w:p w:rsidR="00AE221A" w:rsidRPr="009234A6" w:rsidRDefault="00AE221A" w:rsidP="00AE221A">
      <w:pPr>
        <w:autoSpaceDE w:val="0"/>
        <w:autoSpaceDN w:val="0"/>
        <w:adjustRightInd w:val="0"/>
        <w:rPr>
          <w:rFonts w:ascii="ArialMT" w:hAnsi="ArialMT" w:cs="ArialMT"/>
        </w:rPr>
      </w:pPr>
    </w:p>
    <w:p w:rsidR="00AE221A" w:rsidRDefault="00AE221A">
      <w:pPr>
        <w:ind w:left="360"/>
        <w:rPr>
          <w:rFonts w:ascii="ArialMT" w:hAnsi="ArialMT" w:cs="ArialMT"/>
          <w:szCs w:val="24"/>
          <w:highlight w:val="yellow"/>
        </w:rPr>
      </w:pPr>
    </w:p>
    <w:p w:rsidR="00AE221A" w:rsidRPr="00AA013A" w:rsidRDefault="00AE221A" w:rsidP="00AE221A">
      <w:pPr>
        <w:autoSpaceDE w:val="0"/>
        <w:autoSpaceDN w:val="0"/>
        <w:adjustRightInd w:val="0"/>
        <w:rPr>
          <w:rFonts w:cs="Arial"/>
          <w:szCs w:val="24"/>
        </w:rPr>
      </w:pPr>
      <w:r w:rsidRPr="00AA013A">
        <w:rPr>
          <w:rFonts w:cs="Arial"/>
          <w:szCs w:val="24"/>
        </w:rPr>
        <w:t>During 2013/14 the implementation of the revised investment strategy continued.</w:t>
      </w:r>
    </w:p>
    <w:p w:rsidR="00AE221A" w:rsidRPr="00AA013A" w:rsidRDefault="00AE221A" w:rsidP="00AE221A">
      <w:pPr>
        <w:autoSpaceDE w:val="0"/>
        <w:autoSpaceDN w:val="0"/>
        <w:adjustRightInd w:val="0"/>
        <w:rPr>
          <w:rFonts w:cs="Arial"/>
          <w:szCs w:val="24"/>
        </w:rPr>
      </w:pPr>
      <w:r w:rsidRPr="00AA013A">
        <w:rPr>
          <w:rFonts w:cs="Arial"/>
          <w:szCs w:val="24"/>
        </w:rPr>
        <w:t xml:space="preserve"> </w:t>
      </w:r>
    </w:p>
    <w:p w:rsidR="00AE221A" w:rsidRPr="00AA013A" w:rsidRDefault="00AE221A" w:rsidP="00AE221A">
      <w:pPr>
        <w:autoSpaceDE w:val="0"/>
        <w:autoSpaceDN w:val="0"/>
        <w:adjustRightInd w:val="0"/>
        <w:rPr>
          <w:rFonts w:cs="Arial"/>
          <w:szCs w:val="24"/>
        </w:rPr>
      </w:pPr>
      <w:r w:rsidRPr="00AA013A">
        <w:rPr>
          <w:rFonts w:cs="Arial"/>
          <w:szCs w:val="24"/>
        </w:rPr>
        <w:t>The Fund reduced its exposure to equity markets, finally exiting from residual passive equity mandates whilst adding two actively managed equity investments through seed investments in newly listed UCITS funds launched by AGF (emerging markets) and Magellan (</w:t>
      </w:r>
      <w:r w:rsidR="00871C1A" w:rsidRPr="00AA013A">
        <w:rPr>
          <w:rFonts w:cs="Arial"/>
          <w:szCs w:val="24"/>
        </w:rPr>
        <w:t>g</w:t>
      </w:r>
      <w:r w:rsidRPr="00AA013A">
        <w:rPr>
          <w:rFonts w:cs="Arial"/>
          <w:szCs w:val="24"/>
        </w:rPr>
        <w:t xml:space="preserve">lobal </w:t>
      </w:r>
      <w:r w:rsidR="00871C1A" w:rsidRPr="00AA013A">
        <w:rPr>
          <w:rFonts w:cs="Arial"/>
          <w:szCs w:val="24"/>
        </w:rPr>
        <w:t>e</w:t>
      </w:r>
      <w:r w:rsidRPr="00AA013A">
        <w:rPr>
          <w:rFonts w:cs="Arial"/>
          <w:szCs w:val="24"/>
        </w:rPr>
        <w:t>quities).</w:t>
      </w:r>
    </w:p>
    <w:p w:rsidR="00AE221A" w:rsidRPr="004B3F2D" w:rsidRDefault="00AE221A" w:rsidP="004B3F2D">
      <w:pPr>
        <w:spacing w:before="240" w:after="240" w:line="276" w:lineRule="auto"/>
        <w:rPr>
          <w:rFonts w:cs="Arial"/>
          <w:szCs w:val="24"/>
        </w:rPr>
      </w:pPr>
      <w:r w:rsidRPr="004B3F2D">
        <w:rPr>
          <w:rFonts w:cs="Arial"/>
          <w:szCs w:val="24"/>
        </w:rPr>
        <w:t>The identification o</w:t>
      </w:r>
      <w:r w:rsidR="00480191">
        <w:rPr>
          <w:rFonts w:cs="Arial"/>
          <w:szCs w:val="24"/>
        </w:rPr>
        <w:t xml:space="preserve">f and allocation to investments </w:t>
      </w:r>
      <w:r w:rsidRPr="004B3F2D">
        <w:rPr>
          <w:rFonts w:cs="Arial"/>
          <w:szCs w:val="24"/>
        </w:rPr>
        <w:t xml:space="preserve">to the transition of credit and fixed income assets was also completed. Whilst commitments have been made, some of these investment allocations are expected to take a further twelve months to be fully deployed.  The Fund also identified a series of liquid investment funds into which assets earmarked for future investments can be held with the expectation of low volatility but whilst seeking to reduce investment performance drag associated with the transition. </w:t>
      </w:r>
    </w:p>
    <w:p w:rsidR="00AE221A" w:rsidRPr="009234A6" w:rsidRDefault="00AE221A" w:rsidP="00AE221A">
      <w:pPr>
        <w:autoSpaceDE w:val="0"/>
        <w:autoSpaceDN w:val="0"/>
        <w:adjustRightInd w:val="0"/>
        <w:rPr>
          <w:rFonts w:ascii="Arial-BoldMT" w:hAnsi="Arial-BoldMT" w:cs="Arial-BoldMT"/>
          <w:b/>
          <w:bCs/>
        </w:rPr>
      </w:pPr>
      <w:r w:rsidRPr="009234A6">
        <w:rPr>
          <w:rFonts w:ascii="Arial-BoldMT" w:hAnsi="Arial-BoldMT" w:cs="Arial-BoldMT"/>
          <w:b/>
          <w:bCs/>
        </w:rPr>
        <w:t>Performance</w:t>
      </w:r>
    </w:p>
    <w:p w:rsidR="00AE221A" w:rsidRPr="009234A6" w:rsidRDefault="00AE221A" w:rsidP="00AE221A">
      <w:pPr>
        <w:autoSpaceDE w:val="0"/>
        <w:autoSpaceDN w:val="0"/>
        <w:adjustRightInd w:val="0"/>
        <w:rPr>
          <w:rFonts w:ascii="Arial-BoldMT" w:hAnsi="Arial-BoldMT" w:cs="Arial-BoldMT"/>
          <w:b/>
          <w:bCs/>
        </w:rPr>
      </w:pPr>
    </w:p>
    <w:p w:rsidR="00AE221A" w:rsidRDefault="00AE221A" w:rsidP="00AE221A">
      <w:pPr>
        <w:autoSpaceDE w:val="0"/>
        <w:autoSpaceDN w:val="0"/>
        <w:adjustRightInd w:val="0"/>
        <w:rPr>
          <w:rFonts w:ascii="ArialMT" w:hAnsi="ArialMT" w:cs="ArialMT"/>
        </w:rPr>
      </w:pPr>
      <w:r w:rsidRPr="009234A6">
        <w:rPr>
          <w:rFonts w:ascii="ArialMT" w:hAnsi="ArialMT" w:cs="ArialMT"/>
        </w:rPr>
        <w:t xml:space="preserve">The value of the Fund's assets has </w:t>
      </w:r>
      <w:r>
        <w:rPr>
          <w:rFonts w:ascii="ArialMT" w:hAnsi="ArialMT" w:cs="ArialMT"/>
        </w:rPr>
        <w:t>grown by 87%</w:t>
      </w:r>
      <w:r w:rsidRPr="009234A6">
        <w:rPr>
          <w:rFonts w:ascii="ArialMT" w:hAnsi="ArialMT" w:cs="ArialMT"/>
        </w:rPr>
        <w:t xml:space="preserve"> over the last ten years</w:t>
      </w:r>
      <w:r>
        <w:rPr>
          <w:rFonts w:ascii="ArialMT" w:hAnsi="ArialMT" w:cs="ArialMT"/>
        </w:rPr>
        <w:t xml:space="preserve"> </w:t>
      </w:r>
      <w:r w:rsidRPr="009234A6">
        <w:rPr>
          <w:rFonts w:ascii="ArialMT" w:hAnsi="ArialMT" w:cs="ArialMT"/>
        </w:rPr>
        <w:t xml:space="preserve">as shown in the </w:t>
      </w:r>
      <w:r w:rsidR="00871C1A">
        <w:rPr>
          <w:rFonts w:ascii="ArialMT" w:hAnsi="ArialMT" w:cs="ArialMT"/>
        </w:rPr>
        <w:t>following chart.</w:t>
      </w:r>
      <w:r>
        <w:rPr>
          <w:rFonts w:ascii="ArialMT" w:hAnsi="ArialMT" w:cs="ArialMT"/>
        </w:rPr>
        <w:t xml:space="preserve">  Fund growth arises from investment returns and contributions made to the scheme by employers and employees, reduced by benefits paid out.</w:t>
      </w:r>
    </w:p>
    <w:p w:rsidR="00AE221A" w:rsidRDefault="00AE221A" w:rsidP="00AE221A">
      <w:pPr>
        <w:autoSpaceDE w:val="0"/>
        <w:autoSpaceDN w:val="0"/>
        <w:adjustRightInd w:val="0"/>
        <w:rPr>
          <w:rFonts w:ascii="ArialMT" w:hAnsi="ArialMT" w:cs="ArialMT"/>
        </w:rPr>
      </w:pPr>
    </w:p>
    <w:p w:rsidR="004B3F2D" w:rsidRPr="009234A6" w:rsidRDefault="004B3F2D" w:rsidP="004B3F2D">
      <w:pPr>
        <w:autoSpaceDE w:val="0"/>
        <w:autoSpaceDN w:val="0"/>
        <w:adjustRightInd w:val="0"/>
        <w:rPr>
          <w:rFonts w:ascii="ArialMT" w:hAnsi="ArialMT" w:cs="ArialMT"/>
        </w:rPr>
      </w:pPr>
      <w:r w:rsidRPr="009234A6">
        <w:rPr>
          <w:rFonts w:ascii="ArialMT" w:hAnsi="ArialMT" w:cs="ArialMT"/>
        </w:rPr>
        <w:t xml:space="preserve">The Fund is invested to meet </w:t>
      </w:r>
      <w:r>
        <w:rPr>
          <w:rFonts w:ascii="ArialMT" w:hAnsi="ArialMT" w:cs="ArialMT"/>
        </w:rPr>
        <w:t xml:space="preserve">its own </w:t>
      </w:r>
      <w:r w:rsidRPr="009234A6">
        <w:rPr>
          <w:rFonts w:ascii="ArialMT" w:hAnsi="ArialMT" w:cs="ArialMT"/>
        </w:rPr>
        <w:t xml:space="preserve">liabilities over the medium to long-term and therefore its performance should be judged </w:t>
      </w:r>
      <w:r>
        <w:rPr>
          <w:rFonts w:ascii="ArialMT" w:hAnsi="ArialMT" w:cs="ArialMT"/>
        </w:rPr>
        <w:t xml:space="preserve">not in absolute terms, but rather against those objectives and </w:t>
      </w:r>
      <w:r w:rsidRPr="009234A6">
        <w:rPr>
          <w:rFonts w:ascii="ArialMT" w:hAnsi="ArialMT" w:cs="ArialMT"/>
        </w:rPr>
        <w:t>over a corresponding period</w:t>
      </w:r>
      <w:r>
        <w:rPr>
          <w:rFonts w:ascii="ArialMT" w:hAnsi="ArialMT" w:cs="ArialMT"/>
        </w:rPr>
        <w:t xml:space="preserve">.  </w:t>
      </w:r>
      <w:r w:rsidRPr="009234A6">
        <w:rPr>
          <w:rFonts w:ascii="ArialMT" w:hAnsi="ArialMT" w:cs="ArialMT"/>
        </w:rPr>
        <w:t>Annual returns can be volatile, as seen in 2008/09</w:t>
      </w:r>
      <w:r>
        <w:rPr>
          <w:rFonts w:ascii="ArialMT" w:hAnsi="ArialMT" w:cs="ArialMT"/>
        </w:rPr>
        <w:t xml:space="preserve"> (fund down 20%) and 2009/10 (fund up 35%)</w:t>
      </w:r>
      <w:r w:rsidRPr="009234A6">
        <w:rPr>
          <w:rFonts w:ascii="ArialMT" w:hAnsi="ArialMT" w:cs="ArialMT"/>
        </w:rPr>
        <w:t xml:space="preserve"> and do not necessarily indicate the underlying health of the Fund. </w:t>
      </w:r>
    </w:p>
    <w:p w:rsidR="00AE221A" w:rsidRDefault="00AE221A" w:rsidP="00AE221A">
      <w:pPr>
        <w:autoSpaceDE w:val="0"/>
        <w:autoSpaceDN w:val="0"/>
        <w:adjustRightInd w:val="0"/>
        <w:rPr>
          <w:rFonts w:ascii="ArialMT" w:hAnsi="ArialMT" w:cs="ArialMT"/>
        </w:rPr>
      </w:pPr>
    </w:p>
    <w:p w:rsidR="00AE221A" w:rsidRDefault="00AE221A" w:rsidP="00AE221A">
      <w:pPr>
        <w:autoSpaceDE w:val="0"/>
        <w:autoSpaceDN w:val="0"/>
        <w:adjustRightInd w:val="0"/>
        <w:rPr>
          <w:rFonts w:ascii="ArialMT" w:hAnsi="ArialMT" w:cs="ArialMT"/>
        </w:rPr>
      </w:pPr>
    </w:p>
    <w:p w:rsidR="004B3F2D" w:rsidRPr="009234A6" w:rsidRDefault="004B3F2D" w:rsidP="00AE221A">
      <w:pPr>
        <w:autoSpaceDE w:val="0"/>
        <w:autoSpaceDN w:val="0"/>
        <w:adjustRightInd w:val="0"/>
        <w:rPr>
          <w:rFonts w:ascii="ArialMT" w:hAnsi="ArialMT" w:cs="ArialMT"/>
        </w:rPr>
      </w:pPr>
    </w:p>
    <w:p w:rsidR="00AE221A" w:rsidRDefault="00AE221A">
      <w:pPr>
        <w:ind w:left="360"/>
        <w:rPr>
          <w:b/>
          <w:sz w:val="28"/>
          <w:szCs w:val="28"/>
        </w:rPr>
      </w:pPr>
      <w:r w:rsidRPr="009234A6">
        <w:rPr>
          <w:rFonts w:ascii="ArialMT" w:hAnsi="ArialMT" w:cs="ArialMT"/>
          <w:noProof/>
        </w:rPr>
        <w:lastRenderedPageBreak/>
        <w:drawing>
          <wp:inline distT="0" distB="0" distL="0" distR="0" wp14:anchorId="6C9FA425" wp14:editId="436904F8">
            <wp:extent cx="5777230"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7230" cy="4552950"/>
                    </a:xfrm>
                    <a:prstGeom prst="rect">
                      <a:avLst/>
                    </a:prstGeom>
                    <a:noFill/>
                  </pic:spPr>
                </pic:pic>
              </a:graphicData>
            </a:graphic>
          </wp:inline>
        </w:drawing>
      </w:r>
    </w:p>
    <w:p w:rsidR="00AE221A" w:rsidRDefault="00AE221A">
      <w:pPr>
        <w:ind w:left="360"/>
        <w:rPr>
          <w:b/>
          <w:sz w:val="28"/>
          <w:szCs w:val="28"/>
        </w:rPr>
      </w:pPr>
    </w:p>
    <w:p w:rsidR="00AE221A" w:rsidRPr="009234A6" w:rsidRDefault="00AE221A" w:rsidP="00AE221A">
      <w:pPr>
        <w:autoSpaceDE w:val="0"/>
        <w:autoSpaceDN w:val="0"/>
        <w:adjustRightInd w:val="0"/>
        <w:rPr>
          <w:rFonts w:ascii="ArialMT" w:hAnsi="ArialMT" w:cs="ArialMT"/>
        </w:rPr>
      </w:pPr>
      <w:r w:rsidRPr="009234A6">
        <w:rPr>
          <w:rFonts w:ascii="ArialMT" w:hAnsi="ArialMT" w:cs="ArialMT"/>
        </w:rPr>
        <w:t xml:space="preserve">The performance of the Fund is measured against a Fund specific benchmark with individual managers being given performance targets which are linked to </w:t>
      </w:r>
      <w:r>
        <w:rPr>
          <w:rFonts w:ascii="ArialMT" w:hAnsi="ArialMT" w:cs="ArialMT"/>
        </w:rPr>
        <w:t>market</w:t>
      </w:r>
      <w:r w:rsidRPr="009234A6">
        <w:rPr>
          <w:rFonts w:ascii="ArialMT" w:hAnsi="ArialMT" w:cs="ArialMT"/>
        </w:rPr>
        <w:t xml:space="preserve"> returns for the assets they manage. Details of these can be found in the </w:t>
      </w:r>
      <w:hyperlink r:id="rId23" w:history="1">
        <w:r w:rsidRPr="009234A6">
          <w:rPr>
            <w:rStyle w:val="Hyperlink"/>
            <w:rFonts w:ascii="ArialMT" w:hAnsi="ArialMT" w:cs="ArialMT"/>
          </w:rPr>
          <w:t>Statement of Investment Principles</w:t>
        </w:r>
      </w:hyperlink>
      <w:r w:rsidRPr="009234A6">
        <w:rPr>
          <w:rFonts w:ascii="ArialMT" w:hAnsi="ArialMT" w:cs="ArialMT"/>
        </w:rPr>
        <w:t xml:space="preserve">. </w:t>
      </w:r>
      <w:r>
        <w:rPr>
          <w:rFonts w:ascii="ArialMT" w:hAnsi="ArialMT" w:cs="ArialMT"/>
        </w:rPr>
        <w:t xml:space="preserve"> </w:t>
      </w:r>
      <w:r w:rsidRPr="009234A6">
        <w:rPr>
          <w:rFonts w:ascii="ArialMT" w:hAnsi="ArialMT" w:cs="ArialMT"/>
        </w:rPr>
        <w:t>The performance of investment managers is reviewed on a regular basis by the</w:t>
      </w:r>
      <w:r>
        <w:rPr>
          <w:rFonts w:ascii="ArialMT" w:hAnsi="ArialMT" w:cs="ArialMT"/>
        </w:rPr>
        <w:t xml:space="preserve"> investment management team and Investment</w:t>
      </w:r>
      <w:r w:rsidRPr="009234A6">
        <w:rPr>
          <w:rFonts w:ascii="ArialMT" w:hAnsi="ArialMT" w:cs="ArialMT"/>
        </w:rPr>
        <w:t xml:space="preserve"> Panel and any recommendations arising from those reviews are considered by the Committee.</w:t>
      </w:r>
    </w:p>
    <w:p w:rsidR="00AE221A" w:rsidRDefault="00AE221A" w:rsidP="00AE221A">
      <w:pPr>
        <w:autoSpaceDE w:val="0"/>
        <w:autoSpaceDN w:val="0"/>
        <w:adjustRightInd w:val="0"/>
        <w:rPr>
          <w:rFonts w:ascii="ArialMT" w:hAnsi="ArialMT" w:cs="ArialMT"/>
        </w:rPr>
      </w:pPr>
    </w:p>
    <w:p w:rsidR="00AE221A" w:rsidRPr="009234A6" w:rsidRDefault="00AE221A" w:rsidP="00AE221A">
      <w:pPr>
        <w:autoSpaceDE w:val="0"/>
        <w:autoSpaceDN w:val="0"/>
        <w:adjustRightInd w:val="0"/>
        <w:rPr>
          <w:rFonts w:ascii="ArialMT" w:hAnsi="ArialMT" w:cs="ArialMT"/>
        </w:rPr>
      </w:pPr>
      <w:r w:rsidRPr="009234A6">
        <w:rPr>
          <w:rFonts w:ascii="ArialMT" w:hAnsi="ArialMT" w:cs="ArialMT"/>
        </w:rPr>
        <w:t xml:space="preserve">The Fund subscribes to the annual WM Survey of UK Local Authority Pension Funds, which shows comparisons with other local authority pension funds. </w:t>
      </w:r>
      <w:r>
        <w:rPr>
          <w:rFonts w:ascii="ArialMT" w:hAnsi="ArialMT" w:cs="ArialMT"/>
        </w:rPr>
        <w:t>However, absolute performance versus other local authority funds, which will certainly have different investment strategies designed to meet their own liability profile, may be misleading.  The Fund's primary objective, to have assets available to meet pension liabilities as they fall due, requires the fund to consistently match or outperform the actuarial assumption of investment returns, being UK Gilts +2.5%.</w:t>
      </w:r>
    </w:p>
    <w:p w:rsidR="00AE221A" w:rsidRDefault="00AE221A">
      <w:pPr>
        <w:ind w:left="360"/>
        <w:rPr>
          <w:b/>
          <w:sz w:val="28"/>
          <w:szCs w:val="28"/>
        </w:rPr>
      </w:pPr>
    </w:p>
    <w:p w:rsidR="00AE221A" w:rsidRDefault="00AE221A" w:rsidP="00AE221A">
      <w:pPr>
        <w:autoSpaceDE w:val="0"/>
        <w:autoSpaceDN w:val="0"/>
        <w:adjustRightInd w:val="0"/>
        <w:rPr>
          <w:rFonts w:ascii="ArialMT" w:hAnsi="ArialMT" w:cs="ArialMT"/>
        </w:rPr>
      </w:pPr>
      <w:r>
        <w:rPr>
          <w:rFonts w:ascii="ArialMT" w:hAnsi="ArialMT" w:cs="ArialMT"/>
        </w:rPr>
        <w:t>T</w:t>
      </w:r>
      <w:r w:rsidRPr="009234A6">
        <w:rPr>
          <w:rFonts w:ascii="ArialMT" w:hAnsi="ArialMT" w:cs="ArialMT"/>
        </w:rPr>
        <w:t xml:space="preserve">he chart below shows the total return of the Fund compared to the fund specific benchmark and the </w:t>
      </w:r>
      <w:r>
        <w:rPr>
          <w:rFonts w:ascii="ArialMT" w:hAnsi="ArialMT" w:cs="ArialMT"/>
        </w:rPr>
        <w:t>actuarial</w:t>
      </w:r>
      <w:r w:rsidRPr="009234A6">
        <w:rPr>
          <w:rFonts w:ascii="ArialMT" w:hAnsi="ArialMT" w:cs="ArialMT"/>
        </w:rPr>
        <w:t xml:space="preserve"> fund return</w:t>
      </w:r>
      <w:r>
        <w:rPr>
          <w:rFonts w:ascii="ArialMT" w:hAnsi="ArialMT" w:cs="ArialMT"/>
        </w:rPr>
        <w:t xml:space="preserve"> assumption of Gilts +2.5%</w:t>
      </w:r>
      <w:r w:rsidRPr="009234A6">
        <w:rPr>
          <w:rFonts w:ascii="ArialMT" w:hAnsi="ArialMT" w:cs="ArialMT"/>
        </w:rPr>
        <w:t xml:space="preserve"> measured over 1,</w:t>
      </w:r>
      <w:r>
        <w:rPr>
          <w:rFonts w:ascii="ArialMT" w:hAnsi="ArialMT" w:cs="ArialMT"/>
        </w:rPr>
        <w:t xml:space="preserve"> </w:t>
      </w:r>
      <w:r w:rsidRPr="009234A6">
        <w:rPr>
          <w:rFonts w:ascii="ArialMT" w:hAnsi="ArialMT" w:cs="ArialMT"/>
        </w:rPr>
        <w:t>3</w:t>
      </w:r>
      <w:r>
        <w:rPr>
          <w:rFonts w:ascii="ArialMT" w:hAnsi="ArialMT" w:cs="ArialMT"/>
        </w:rPr>
        <w:t>,</w:t>
      </w:r>
      <w:r w:rsidRPr="009234A6">
        <w:rPr>
          <w:rFonts w:ascii="ArialMT" w:hAnsi="ArialMT" w:cs="ArialMT"/>
        </w:rPr>
        <w:t xml:space="preserve"> 5 </w:t>
      </w:r>
      <w:r>
        <w:rPr>
          <w:rFonts w:ascii="ArialMT" w:hAnsi="ArialMT" w:cs="ArialMT"/>
        </w:rPr>
        <w:t xml:space="preserve">and 10 </w:t>
      </w:r>
      <w:r w:rsidRPr="009234A6">
        <w:rPr>
          <w:rFonts w:ascii="ArialMT" w:hAnsi="ArialMT" w:cs="ArialMT"/>
        </w:rPr>
        <w:t>years to 31 March 2014:</w:t>
      </w:r>
    </w:p>
    <w:p w:rsidR="00AE221A" w:rsidRDefault="00AE221A" w:rsidP="00166965">
      <w:pPr>
        <w:rPr>
          <w:b/>
          <w:sz w:val="28"/>
          <w:szCs w:val="28"/>
        </w:rPr>
      </w:pPr>
    </w:p>
    <w:p w:rsidR="00AE221A" w:rsidRDefault="00AE221A">
      <w:pPr>
        <w:ind w:left="360"/>
        <w:rPr>
          <w:b/>
          <w:sz w:val="28"/>
          <w:szCs w:val="28"/>
        </w:rPr>
      </w:pPr>
    </w:p>
    <w:p w:rsidR="004B3F2D" w:rsidRDefault="004B3F2D">
      <w:pPr>
        <w:ind w:left="360"/>
        <w:rPr>
          <w:b/>
          <w:sz w:val="28"/>
          <w:szCs w:val="28"/>
        </w:rPr>
      </w:pPr>
    </w:p>
    <w:p w:rsidR="004B3F2D" w:rsidRDefault="004B3F2D">
      <w:pPr>
        <w:ind w:left="360"/>
        <w:rPr>
          <w:b/>
          <w:sz w:val="28"/>
          <w:szCs w:val="28"/>
        </w:rPr>
      </w:pPr>
    </w:p>
    <w:p w:rsidR="004B3F2D" w:rsidRDefault="004B3F2D">
      <w:pPr>
        <w:ind w:left="360"/>
        <w:rPr>
          <w:b/>
          <w:sz w:val="28"/>
          <w:szCs w:val="28"/>
        </w:rPr>
      </w:pPr>
    </w:p>
    <w:p w:rsidR="004B3F2D" w:rsidRDefault="004B3F2D">
      <w:pPr>
        <w:ind w:left="360"/>
        <w:rPr>
          <w:b/>
          <w:sz w:val="28"/>
          <w:szCs w:val="28"/>
        </w:rPr>
      </w:pPr>
    </w:p>
    <w:p w:rsidR="00AE221A" w:rsidRDefault="00AE221A">
      <w:pPr>
        <w:ind w:left="360"/>
        <w:rPr>
          <w:b/>
          <w:sz w:val="28"/>
          <w:szCs w:val="28"/>
        </w:rPr>
      </w:pPr>
    </w:p>
    <w:p w:rsidR="00AE221A" w:rsidRDefault="00323E71">
      <w:pPr>
        <w:ind w:left="360"/>
        <w:rPr>
          <w:b/>
          <w:sz w:val="28"/>
          <w:szCs w:val="28"/>
        </w:rPr>
      </w:pPr>
      <w:r>
        <w:rPr>
          <w:b/>
          <w:noProof/>
          <w:sz w:val="28"/>
          <w:szCs w:val="28"/>
        </w:rPr>
        <w:drawing>
          <wp:inline distT="0" distB="0" distL="0" distR="0" wp14:anchorId="44307BFC">
            <wp:extent cx="6096635" cy="4176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4176395"/>
                    </a:xfrm>
                    <a:prstGeom prst="rect">
                      <a:avLst/>
                    </a:prstGeom>
                    <a:noFill/>
                  </pic:spPr>
                </pic:pic>
              </a:graphicData>
            </a:graphic>
          </wp:inline>
        </w:drawing>
      </w:r>
    </w:p>
    <w:p w:rsidR="00323E71" w:rsidRDefault="00323E71">
      <w:pPr>
        <w:ind w:left="360"/>
        <w:rPr>
          <w:b/>
          <w:sz w:val="28"/>
          <w:szCs w:val="28"/>
        </w:rPr>
      </w:pPr>
    </w:p>
    <w:p w:rsidR="00166965" w:rsidRDefault="00AE221A" w:rsidP="00AE221A">
      <w:pPr>
        <w:spacing w:after="200" w:line="276" w:lineRule="auto"/>
      </w:pPr>
      <w:r w:rsidRPr="009234A6">
        <w:t>In the year to 31 March 201</w:t>
      </w:r>
      <w:r>
        <w:t>4</w:t>
      </w:r>
      <w:r w:rsidRPr="009234A6">
        <w:t xml:space="preserve">, The Total Fund return amounted to </w:t>
      </w:r>
      <w:r>
        <w:t>4.7</w:t>
      </w:r>
      <w:r w:rsidRPr="009234A6">
        <w:t xml:space="preserve">% against a benchmark of </w:t>
      </w:r>
      <w:r>
        <w:t>5.0</w:t>
      </w:r>
      <w:r w:rsidRPr="009234A6">
        <w:t xml:space="preserve">%. This significantly outperformed the Gilts+2.5% actuarial </w:t>
      </w:r>
      <w:r>
        <w:t>return assumption</w:t>
      </w:r>
      <w:r w:rsidRPr="009234A6">
        <w:t xml:space="preserve"> of </w:t>
      </w:r>
      <w:r>
        <w:t>-0.1%</w:t>
      </w:r>
      <w:r w:rsidRPr="009234A6">
        <w:t xml:space="preserve">% for the same period. </w:t>
      </w:r>
      <w:r>
        <w:t xml:space="preserve"> The five year performance of the fund also shows a comfortable excess return over the actuarial assumption. </w:t>
      </w:r>
    </w:p>
    <w:p w:rsidR="00AE221A" w:rsidRDefault="00AE221A" w:rsidP="00AE221A">
      <w:pPr>
        <w:spacing w:after="200" w:line="276" w:lineRule="auto"/>
      </w:pPr>
      <w:r>
        <w:t xml:space="preserve">The results for the year to 31 March 2014 were adversely affected by a number of factors. </w:t>
      </w:r>
    </w:p>
    <w:p w:rsidR="00AE221A" w:rsidRDefault="00AE221A" w:rsidP="00AE221A">
      <w:pPr>
        <w:spacing w:after="200" w:line="276" w:lineRule="auto"/>
      </w:pPr>
      <w:r>
        <w:t xml:space="preserve">Firstly, the switch to a global investment strategy has increased the fund's exposure to non-sterling currencies, notably the US Dollar, Euro and various emerging market currencies.  During the course of the year, </w:t>
      </w:r>
      <w:r w:rsidR="00871C1A">
        <w:t>s</w:t>
      </w:r>
      <w:r>
        <w:t xml:space="preserve">terling strengthened significantly against these currencies (for example from a rate against the US Dollar of $1.5229 at 1 April 2013 to a rate of $1.6662 on 31 March 2014, causing a depreciation in the </w:t>
      </w:r>
      <w:r w:rsidR="00871C1A">
        <w:t>s</w:t>
      </w:r>
      <w:r>
        <w:t xml:space="preserve">terling valuation of </w:t>
      </w:r>
      <w:r w:rsidR="00871C1A">
        <w:t>d</w:t>
      </w:r>
      <w:r>
        <w:t>ollar denominated assets of 8.6%).  The fund's strategy is to seek out investments with the most favourable characteristics for the fund in the long run, wherever these may be situated globally.  Currency fluctuations will have an increased impact on short-term investment performance, therefore, but over the long-term this impact should diminish, to be outweighed by the superior investment characteristics of the new strategy.</w:t>
      </w:r>
    </w:p>
    <w:p w:rsidR="00AE221A" w:rsidRDefault="00AE221A" w:rsidP="00AE221A">
      <w:pPr>
        <w:spacing w:after="200" w:line="276" w:lineRule="auto"/>
      </w:pPr>
      <w:r>
        <w:t xml:space="preserve">Secondly, as mentioned earlier, the transition to the new investment strategy was further accelerated in the past twelve months.  This part of the transition has involved switching investments between different investment types and markets and therefore incurring one-off transaction costs including bid/offer spreads.  Furthermore, the transition has required the fund to hold increased levels of cash and other liquid assets which typically deliver a lower investment </w:t>
      </w:r>
      <w:r>
        <w:lastRenderedPageBreak/>
        <w:t>return than the long-term investments that the fund is targeting.  Finally, whilst commitments have been made to new investment strategies, these are not yet fully funded</w:t>
      </w:r>
      <w:r w:rsidR="00871C1A">
        <w:t>,</w:t>
      </w:r>
      <w:r>
        <w:t xml:space="preserve"> meaning that the enhanced investment returns that are expected in the long term are not yet reflected in annual performance.  It is anticipated that the drag on performance caused by these factors will continue to a lesser extent into the next financial year, but that the year ended 31 March 201</w:t>
      </w:r>
      <w:r w:rsidR="00871C1A">
        <w:t>4</w:t>
      </w:r>
      <w:r>
        <w:t xml:space="preserve"> will be the year that has been most impacted.</w:t>
      </w:r>
    </w:p>
    <w:p w:rsidR="00AE221A" w:rsidRPr="009234A6" w:rsidRDefault="00AE221A" w:rsidP="00AE221A">
      <w:pPr>
        <w:autoSpaceDE w:val="0"/>
        <w:autoSpaceDN w:val="0"/>
        <w:adjustRightInd w:val="0"/>
        <w:rPr>
          <w:rFonts w:ascii="ArialMT" w:hAnsi="ArialMT" w:cs="ArialMT"/>
          <w:szCs w:val="24"/>
        </w:rPr>
      </w:pPr>
      <w:r>
        <w:t xml:space="preserve">Finally, </w:t>
      </w:r>
      <w:r>
        <w:rPr>
          <w:rFonts w:ascii="ArialMT" w:hAnsi="ArialMT" w:cs="ArialMT"/>
          <w:szCs w:val="24"/>
        </w:rPr>
        <w:t>the</w:t>
      </w:r>
      <w:r w:rsidRPr="009234A6">
        <w:rPr>
          <w:rFonts w:ascii="ArialMT" w:hAnsi="ArialMT" w:cs="ArialMT"/>
          <w:szCs w:val="24"/>
        </w:rPr>
        <w:t xml:space="preserve"> long term nature of Private Equity and Infrastructure allocations are such</w:t>
      </w:r>
      <w:r w:rsidR="00871C1A">
        <w:rPr>
          <w:rFonts w:ascii="ArialMT" w:hAnsi="ArialMT" w:cs="ArialMT"/>
          <w:szCs w:val="24"/>
        </w:rPr>
        <w:t xml:space="preserve"> that,</w:t>
      </w:r>
      <w:r w:rsidRPr="009234A6">
        <w:rPr>
          <w:rFonts w:ascii="ArialMT" w:hAnsi="ArialMT" w:cs="ArialMT"/>
          <w:szCs w:val="24"/>
        </w:rPr>
        <w:t xml:space="preserve"> investment during the initial stages (years 1-3) </w:t>
      </w:r>
      <w:r>
        <w:rPr>
          <w:rFonts w:ascii="ArialMT" w:hAnsi="ArialMT" w:cs="ArialMT"/>
          <w:szCs w:val="24"/>
        </w:rPr>
        <w:t>creates performance drag but is expected to generate</w:t>
      </w:r>
      <w:r w:rsidRPr="009234A6">
        <w:rPr>
          <w:rFonts w:ascii="ArialMT" w:hAnsi="ArialMT" w:cs="ArialMT"/>
          <w:szCs w:val="24"/>
        </w:rPr>
        <w:t xml:space="preserve"> </w:t>
      </w:r>
      <w:r>
        <w:rPr>
          <w:rFonts w:ascii="ArialMT" w:hAnsi="ArialMT" w:cs="ArialMT"/>
          <w:szCs w:val="24"/>
        </w:rPr>
        <w:t xml:space="preserve">higher </w:t>
      </w:r>
      <w:r w:rsidRPr="009234A6">
        <w:rPr>
          <w:rFonts w:ascii="ArialMT" w:hAnsi="ArialMT" w:cs="ArialMT"/>
          <w:szCs w:val="24"/>
        </w:rPr>
        <w:t>returns in the later stages (years</w:t>
      </w:r>
      <w:r>
        <w:rPr>
          <w:rFonts w:ascii="ArialMT" w:hAnsi="ArialMT" w:cs="ArialMT"/>
          <w:szCs w:val="24"/>
        </w:rPr>
        <w:t xml:space="preserve"> </w:t>
      </w:r>
      <w:r w:rsidRPr="009234A6">
        <w:rPr>
          <w:rFonts w:ascii="ArialMT" w:hAnsi="ArialMT" w:cs="ArialMT"/>
          <w:szCs w:val="24"/>
        </w:rPr>
        <w:t>4-7).</w:t>
      </w:r>
      <w:r>
        <w:rPr>
          <w:rFonts w:ascii="ArialMT" w:hAnsi="ArialMT" w:cs="ArialMT"/>
          <w:szCs w:val="24"/>
        </w:rPr>
        <w:t xml:space="preserve">  In a steady-state, with equal proportions of investments at different stages of their life, this effect may balance itself out.  However, as the fund is currently in the process of increasing allocations to both Private Equity and Infrastructure, the investment drag of early years is likely to be disproportionately affecting short term investment returns.</w:t>
      </w:r>
    </w:p>
    <w:p w:rsidR="00AE221A" w:rsidRDefault="00AE221A" w:rsidP="00AE221A">
      <w:pPr>
        <w:autoSpaceDE w:val="0"/>
        <w:autoSpaceDN w:val="0"/>
        <w:adjustRightInd w:val="0"/>
        <w:spacing w:line="276" w:lineRule="auto"/>
      </w:pPr>
    </w:p>
    <w:p w:rsidR="00AE221A" w:rsidRDefault="00AE221A" w:rsidP="00AE221A">
      <w:pPr>
        <w:autoSpaceDE w:val="0"/>
        <w:autoSpaceDN w:val="0"/>
        <w:adjustRightInd w:val="0"/>
        <w:spacing w:line="276" w:lineRule="auto"/>
      </w:pPr>
      <w:r>
        <w:t xml:space="preserve">Despite these adverse factors, underlying investment performance continues to be strong, with initial local currency investment returns in line with expectations for new investments made during the year.  Performance figures where an investment has been in place for less than a year would not be meaningful, but will be reported in future years in line with the broad categories outlined above. </w:t>
      </w:r>
    </w:p>
    <w:p w:rsidR="00AE221A" w:rsidRDefault="00AE221A">
      <w:pPr>
        <w:ind w:left="360"/>
        <w:rPr>
          <w:b/>
          <w:sz w:val="28"/>
          <w:szCs w:val="28"/>
        </w:rPr>
      </w:pPr>
    </w:p>
    <w:p w:rsidR="004B3F2D" w:rsidRDefault="004B3F2D">
      <w:pPr>
        <w:ind w:left="360"/>
        <w:rPr>
          <w:b/>
          <w:sz w:val="28"/>
          <w:szCs w:val="28"/>
        </w:rPr>
      </w:pPr>
    </w:p>
    <w:p w:rsidR="00AE221A" w:rsidRPr="00496AED" w:rsidRDefault="00AE221A" w:rsidP="00AE221A">
      <w:pPr>
        <w:autoSpaceDE w:val="0"/>
        <w:autoSpaceDN w:val="0"/>
        <w:adjustRightInd w:val="0"/>
        <w:spacing w:line="276" w:lineRule="auto"/>
        <w:rPr>
          <w:rFonts w:ascii="ArialMT" w:hAnsi="ArialMT" w:cs="ArialMT"/>
          <w:b/>
        </w:rPr>
      </w:pPr>
      <w:r w:rsidRPr="00496AED">
        <w:rPr>
          <w:rFonts w:ascii="ArialMT" w:hAnsi="ArialMT" w:cs="ArialMT"/>
          <w:b/>
        </w:rPr>
        <w:t>P</w:t>
      </w:r>
      <w:r w:rsidR="00A816DF">
        <w:rPr>
          <w:rFonts w:ascii="ArialMT" w:hAnsi="ArialMT" w:cs="ArialMT"/>
          <w:b/>
        </w:rPr>
        <w:t>ublic equity investments</w:t>
      </w:r>
    </w:p>
    <w:p w:rsidR="00AE221A" w:rsidRDefault="00AE221A" w:rsidP="00AE221A">
      <w:pPr>
        <w:autoSpaceDE w:val="0"/>
        <w:autoSpaceDN w:val="0"/>
        <w:adjustRightInd w:val="0"/>
        <w:spacing w:line="276" w:lineRule="auto"/>
        <w:rPr>
          <w:rFonts w:ascii="ArialMT" w:hAnsi="ArialMT" w:cs="ArialMT"/>
        </w:rPr>
      </w:pPr>
    </w:p>
    <w:p w:rsidR="00323E71" w:rsidRDefault="00AE221A" w:rsidP="00AE221A">
      <w:pPr>
        <w:autoSpaceDE w:val="0"/>
        <w:autoSpaceDN w:val="0"/>
        <w:adjustRightInd w:val="0"/>
        <w:spacing w:line="276" w:lineRule="auto"/>
        <w:rPr>
          <w:rFonts w:ascii="ArialMT" w:hAnsi="ArialMT" w:cs="ArialMT"/>
        </w:rPr>
      </w:pPr>
      <w:r>
        <w:rPr>
          <w:rFonts w:ascii="ArialMT" w:hAnsi="ArialMT" w:cs="ArialMT"/>
        </w:rPr>
        <w:t>The performance of a</w:t>
      </w:r>
      <w:r w:rsidRPr="009234A6">
        <w:rPr>
          <w:rFonts w:ascii="ArialMT" w:hAnsi="ArialMT" w:cs="ArialMT"/>
        </w:rPr>
        <w:t xml:space="preserve">ctive </w:t>
      </w:r>
      <w:r>
        <w:rPr>
          <w:rFonts w:ascii="ArialMT" w:hAnsi="ArialMT" w:cs="ArialMT"/>
        </w:rPr>
        <w:t xml:space="preserve">equity </w:t>
      </w:r>
      <w:r w:rsidRPr="009234A6">
        <w:rPr>
          <w:rFonts w:ascii="ArialMT" w:hAnsi="ArialMT" w:cs="ArialMT"/>
        </w:rPr>
        <w:t xml:space="preserve">managers </w:t>
      </w:r>
      <w:r w:rsidR="00871C1A">
        <w:rPr>
          <w:rFonts w:ascii="ArialMT" w:hAnsi="ArialMT" w:cs="ArialMT"/>
        </w:rPr>
        <w:t xml:space="preserve">which </w:t>
      </w:r>
      <w:r w:rsidRPr="009234A6">
        <w:rPr>
          <w:rFonts w:ascii="ArialMT" w:hAnsi="ArialMT" w:cs="ArialMT"/>
        </w:rPr>
        <w:t>have</w:t>
      </w:r>
      <w:r>
        <w:rPr>
          <w:rFonts w:ascii="ArialMT" w:hAnsi="ArialMT" w:cs="ArialMT"/>
        </w:rPr>
        <w:t xml:space="preserve"> been in place for over a year is shown in the chart that follows.</w:t>
      </w:r>
    </w:p>
    <w:p w:rsidR="00AE221A" w:rsidRDefault="00AE221A">
      <w:pPr>
        <w:ind w:left="360"/>
        <w:rPr>
          <w:b/>
          <w:sz w:val="28"/>
          <w:szCs w:val="28"/>
        </w:rPr>
      </w:pPr>
    </w:p>
    <w:p w:rsidR="00323E71" w:rsidRDefault="00323E71">
      <w:pPr>
        <w:ind w:left="360"/>
        <w:rPr>
          <w:b/>
          <w:sz w:val="28"/>
          <w:szCs w:val="28"/>
        </w:rPr>
      </w:pPr>
      <w:r>
        <w:rPr>
          <w:b/>
          <w:noProof/>
          <w:sz w:val="28"/>
          <w:szCs w:val="28"/>
        </w:rPr>
        <w:drawing>
          <wp:inline distT="0" distB="0" distL="0" distR="0" wp14:anchorId="3EB5DD99">
            <wp:extent cx="574294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3883660"/>
                    </a:xfrm>
                    <a:prstGeom prst="rect">
                      <a:avLst/>
                    </a:prstGeom>
                    <a:noFill/>
                  </pic:spPr>
                </pic:pic>
              </a:graphicData>
            </a:graphic>
          </wp:inline>
        </w:drawing>
      </w:r>
    </w:p>
    <w:p w:rsidR="00323E71" w:rsidRDefault="00323E71">
      <w:pPr>
        <w:ind w:left="360"/>
        <w:rPr>
          <w:b/>
          <w:sz w:val="28"/>
          <w:szCs w:val="28"/>
        </w:rPr>
      </w:pPr>
    </w:p>
    <w:p w:rsidR="00323E71" w:rsidRDefault="00323E71">
      <w:pPr>
        <w:ind w:left="360"/>
        <w:rPr>
          <w:b/>
          <w:sz w:val="28"/>
          <w:szCs w:val="28"/>
        </w:rPr>
      </w:pPr>
      <w:r>
        <w:rPr>
          <w:b/>
          <w:noProof/>
          <w:sz w:val="28"/>
          <w:szCs w:val="28"/>
        </w:rPr>
        <w:drawing>
          <wp:inline distT="0" distB="0" distL="0" distR="0" wp14:anchorId="3920420B">
            <wp:extent cx="5742940" cy="4645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4645660"/>
                    </a:xfrm>
                    <a:prstGeom prst="rect">
                      <a:avLst/>
                    </a:prstGeom>
                    <a:noFill/>
                  </pic:spPr>
                </pic:pic>
              </a:graphicData>
            </a:graphic>
          </wp:inline>
        </w:drawing>
      </w:r>
    </w:p>
    <w:p w:rsidR="00C461D2" w:rsidRDefault="00C461D2">
      <w:pPr>
        <w:ind w:left="360"/>
        <w:rPr>
          <w:b/>
          <w:sz w:val="28"/>
          <w:szCs w:val="28"/>
        </w:rPr>
      </w:pPr>
    </w:p>
    <w:p w:rsidR="00AE221A" w:rsidRDefault="00AE221A">
      <w:pPr>
        <w:ind w:left="360"/>
        <w:rPr>
          <w:b/>
          <w:sz w:val="28"/>
          <w:szCs w:val="28"/>
        </w:rPr>
      </w:pPr>
    </w:p>
    <w:p w:rsidR="00AE221A" w:rsidRDefault="00AE221A" w:rsidP="00AE221A">
      <w:pPr>
        <w:autoSpaceDE w:val="0"/>
        <w:autoSpaceDN w:val="0"/>
        <w:adjustRightInd w:val="0"/>
        <w:rPr>
          <w:rFonts w:ascii="ArialMT" w:hAnsi="ArialMT" w:cs="ArialMT"/>
        </w:rPr>
      </w:pPr>
      <w:r>
        <w:rPr>
          <w:rFonts w:ascii="ArialMT" w:hAnsi="ArialMT" w:cs="ArialMT"/>
        </w:rPr>
        <w:t>Active managers have</w:t>
      </w:r>
      <w:r w:rsidRPr="009234A6">
        <w:rPr>
          <w:rFonts w:ascii="ArialMT" w:hAnsi="ArialMT" w:cs="ArialMT"/>
        </w:rPr>
        <w:t xml:space="preserve"> discretion to </w:t>
      </w:r>
      <w:r>
        <w:rPr>
          <w:rFonts w:ascii="ArialMT" w:hAnsi="ArialMT" w:cs="ArialMT"/>
        </w:rPr>
        <w:t>make investments that deviate from</w:t>
      </w:r>
      <w:r w:rsidRPr="009234A6">
        <w:rPr>
          <w:rFonts w:ascii="ArialMT" w:hAnsi="ArialMT" w:cs="ArialMT"/>
        </w:rPr>
        <w:t xml:space="preserve"> the benchmark allocation, within agreed constraints and tolerances.</w:t>
      </w:r>
      <w:r w:rsidR="0076770B">
        <w:rPr>
          <w:rFonts w:ascii="ArialMT" w:hAnsi="ArialMT" w:cs="ArialMT"/>
        </w:rPr>
        <w:t xml:space="preserve"> </w:t>
      </w:r>
      <w:r w:rsidRPr="009234A6">
        <w:rPr>
          <w:rFonts w:ascii="ArialMT" w:hAnsi="ArialMT" w:cs="ArialMT"/>
        </w:rPr>
        <w:t xml:space="preserve"> These decisions will reflect their views on market conditions within various countries or betwee</w:t>
      </w:r>
      <w:r>
        <w:rPr>
          <w:rFonts w:ascii="ArialMT" w:hAnsi="ArialMT" w:cs="ArialMT"/>
        </w:rPr>
        <w:t>n different types of instrument</w:t>
      </w:r>
      <w:r w:rsidRPr="009234A6">
        <w:rPr>
          <w:rFonts w:ascii="ArialMT" w:hAnsi="ArialMT" w:cs="ArialMT"/>
        </w:rPr>
        <w:t>.</w:t>
      </w:r>
    </w:p>
    <w:p w:rsidR="00AE221A" w:rsidRDefault="00AE221A" w:rsidP="00AE221A">
      <w:pPr>
        <w:autoSpaceDE w:val="0"/>
        <w:autoSpaceDN w:val="0"/>
        <w:adjustRightInd w:val="0"/>
        <w:rPr>
          <w:rFonts w:ascii="ArialMT" w:hAnsi="ArialMT" w:cs="ArialMT"/>
        </w:rPr>
      </w:pPr>
    </w:p>
    <w:p w:rsidR="00AE221A" w:rsidRDefault="00AE221A" w:rsidP="00AE221A">
      <w:pPr>
        <w:autoSpaceDE w:val="0"/>
        <w:autoSpaceDN w:val="0"/>
        <w:adjustRightInd w:val="0"/>
        <w:rPr>
          <w:rFonts w:ascii="ArialMT" w:hAnsi="ArialMT" w:cs="ArialMT"/>
          <w:szCs w:val="24"/>
        </w:rPr>
      </w:pPr>
      <w:r w:rsidRPr="009234A6">
        <w:rPr>
          <w:rFonts w:ascii="ArialMT" w:hAnsi="ArialMT" w:cs="ArialMT"/>
          <w:szCs w:val="24"/>
        </w:rPr>
        <w:t xml:space="preserve">As part of an overall </w:t>
      </w:r>
      <w:r>
        <w:rPr>
          <w:rFonts w:ascii="ArialMT" w:hAnsi="ArialMT" w:cs="ArialMT"/>
          <w:szCs w:val="24"/>
        </w:rPr>
        <w:t xml:space="preserve">equity </w:t>
      </w:r>
      <w:r w:rsidRPr="009234A6">
        <w:rPr>
          <w:rFonts w:ascii="ArialMT" w:hAnsi="ArialMT" w:cs="ArialMT"/>
          <w:szCs w:val="24"/>
        </w:rPr>
        <w:t xml:space="preserve">portfolio strategy Robeco and Morgan Stanley were </w:t>
      </w:r>
      <w:r>
        <w:rPr>
          <w:rFonts w:ascii="ArialMT" w:hAnsi="ArialMT" w:cs="ArialMT"/>
          <w:szCs w:val="24"/>
        </w:rPr>
        <w:t>installed</w:t>
      </w:r>
      <w:r w:rsidRPr="009234A6">
        <w:rPr>
          <w:rFonts w:ascii="ArialMT" w:hAnsi="ArialMT" w:cs="ArialMT"/>
          <w:szCs w:val="24"/>
        </w:rPr>
        <w:t xml:space="preserve"> as defensive managers.  As expected in a strongly performing market they have underperformed their benchmark.  </w:t>
      </w:r>
      <w:r>
        <w:rPr>
          <w:rFonts w:ascii="ArialMT" w:hAnsi="ArialMT" w:cs="ArialMT"/>
          <w:szCs w:val="24"/>
        </w:rPr>
        <w:t xml:space="preserve">Baillie Gifford, </w:t>
      </w:r>
      <w:r w:rsidRPr="009234A6">
        <w:rPr>
          <w:rFonts w:ascii="ArialMT" w:hAnsi="ArialMT" w:cs="ArialMT"/>
          <w:szCs w:val="24"/>
        </w:rPr>
        <w:t>NGAM and MFS were appointed with a growth bias and the</w:t>
      </w:r>
      <w:r>
        <w:rPr>
          <w:rFonts w:ascii="ArialMT" w:hAnsi="ArialMT" w:cs="ArialMT"/>
          <w:szCs w:val="24"/>
        </w:rPr>
        <w:t xml:space="preserve">ir </w:t>
      </w:r>
      <w:r w:rsidRPr="009234A6">
        <w:rPr>
          <w:rFonts w:ascii="ArialMT" w:hAnsi="ArialMT" w:cs="ArialMT"/>
          <w:szCs w:val="24"/>
        </w:rPr>
        <w:t xml:space="preserve">out-performance against </w:t>
      </w:r>
      <w:r>
        <w:rPr>
          <w:rFonts w:ascii="ArialMT" w:hAnsi="ArialMT" w:cs="ArialMT"/>
          <w:szCs w:val="24"/>
        </w:rPr>
        <w:t xml:space="preserve">the </w:t>
      </w:r>
      <w:r w:rsidRPr="009234A6">
        <w:rPr>
          <w:rFonts w:ascii="ArialMT" w:hAnsi="ArialMT" w:cs="ArialMT"/>
          <w:szCs w:val="24"/>
        </w:rPr>
        <w:t>benchmark reflects this.</w:t>
      </w:r>
      <w:r>
        <w:rPr>
          <w:rFonts w:ascii="ArialMT" w:hAnsi="ArialMT" w:cs="ArialMT"/>
          <w:szCs w:val="24"/>
        </w:rPr>
        <w:t xml:space="preserve">  It is pleasing that these investments are performing as expected.</w:t>
      </w:r>
      <w:r w:rsidRPr="009234A6">
        <w:rPr>
          <w:rFonts w:ascii="ArialMT" w:hAnsi="ArialMT" w:cs="ArialMT"/>
          <w:szCs w:val="24"/>
        </w:rPr>
        <w:t xml:space="preserve">  </w:t>
      </w:r>
    </w:p>
    <w:p w:rsidR="00871C1A" w:rsidRDefault="00871C1A" w:rsidP="00AE221A">
      <w:pPr>
        <w:autoSpaceDE w:val="0"/>
        <w:autoSpaceDN w:val="0"/>
        <w:adjustRightInd w:val="0"/>
        <w:rPr>
          <w:rFonts w:ascii="ArialMT" w:hAnsi="ArialMT" w:cs="ArialMT"/>
          <w:szCs w:val="24"/>
        </w:rPr>
      </w:pPr>
    </w:p>
    <w:p w:rsidR="00AE221A" w:rsidRDefault="00AE221A" w:rsidP="00AE221A">
      <w:pPr>
        <w:autoSpaceDE w:val="0"/>
        <w:autoSpaceDN w:val="0"/>
        <w:adjustRightInd w:val="0"/>
        <w:rPr>
          <w:rFonts w:ascii="ArialMT" w:hAnsi="ArialMT" w:cs="ArialMT"/>
          <w:noProof/>
          <w:szCs w:val="24"/>
        </w:rPr>
      </w:pPr>
      <w:r w:rsidRPr="009234A6">
        <w:rPr>
          <w:rFonts w:ascii="ArialMT" w:hAnsi="ArialMT" w:cs="ArialMT"/>
          <w:noProof/>
          <w:szCs w:val="24"/>
        </w:rPr>
        <w:t>The largest ten equity holdings of the Fund at 31 March 2014 were:</w:t>
      </w:r>
    </w:p>
    <w:p w:rsidR="00AE221A" w:rsidRDefault="00AE221A" w:rsidP="00AE221A">
      <w:pPr>
        <w:autoSpaceDE w:val="0"/>
        <w:autoSpaceDN w:val="0"/>
        <w:adjustRightInd w:val="0"/>
        <w:rPr>
          <w:rFonts w:ascii="ArialMT" w:hAnsi="ArialMT" w:cs="ArialMT"/>
          <w:noProof/>
          <w:szCs w:val="24"/>
        </w:rPr>
      </w:pPr>
    </w:p>
    <w:p w:rsidR="00AE221A" w:rsidRPr="009234A6" w:rsidRDefault="00AE221A" w:rsidP="00AE221A">
      <w:pPr>
        <w:autoSpaceDE w:val="0"/>
        <w:autoSpaceDN w:val="0"/>
        <w:adjustRightInd w:val="0"/>
        <w:rPr>
          <w:rFonts w:ascii="ArialMT" w:hAnsi="ArialMT" w:cs="ArialMT"/>
          <w:noProof/>
          <w:szCs w:val="24"/>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128"/>
        <w:gridCol w:w="2550"/>
      </w:tblGrid>
      <w:tr w:rsidR="00AE221A" w:rsidRPr="009234A6" w:rsidTr="00883B4E">
        <w:tc>
          <w:tcPr>
            <w:tcW w:w="4928" w:type="dxa"/>
          </w:tcPr>
          <w:p w:rsidR="00AE221A" w:rsidRPr="009234A6" w:rsidRDefault="00871C1A" w:rsidP="00883B4E">
            <w:pPr>
              <w:autoSpaceDE w:val="0"/>
              <w:autoSpaceDN w:val="0"/>
              <w:adjustRightInd w:val="0"/>
              <w:jc w:val="center"/>
              <w:rPr>
                <w:rFonts w:ascii="ArialMT" w:hAnsi="ArialMT" w:cs="ArialMT"/>
                <w:b/>
                <w:noProof/>
                <w:szCs w:val="24"/>
              </w:rPr>
            </w:pPr>
            <w:r>
              <w:rPr>
                <w:rFonts w:ascii="ArialMT" w:hAnsi="ArialMT" w:cs="ArialMT"/>
                <w:b/>
                <w:noProof/>
                <w:szCs w:val="24"/>
              </w:rPr>
              <w:t>E</w:t>
            </w:r>
            <w:r w:rsidR="00AE221A" w:rsidRPr="009234A6">
              <w:rPr>
                <w:rFonts w:ascii="ArialMT" w:hAnsi="ArialMT" w:cs="ArialMT"/>
                <w:b/>
                <w:noProof/>
                <w:szCs w:val="24"/>
              </w:rPr>
              <w:t>quity</w:t>
            </w:r>
          </w:p>
        </w:tc>
        <w:tc>
          <w:tcPr>
            <w:tcW w:w="2128" w:type="dxa"/>
          </w:tcPr>
          <w:p w:rsidR="00AE221A" w:rsidRPr="009234A6" w:rsidRDefault="00AE221A" w:rsidP="00883B4E">
            <w:pPr>
              <w:autoSpaceDE w:val="0"/>
              <w:autoSpaceDN w:val="0"/>
              <w:adjustRightInd w:val="0"/>
              <w:jc w:val="center"/>
              <w:rPr>
                <w:rFonts w:ascii="ArialMT" w:hAnsi="ArialMT" w:cs="ArialMT"/>
                <w:b/>
                <w:noProof/>
                <w:szCs w:val="24"/>
              </w:rPr>
            </w:pPr>
            <w:r w:rsidRPr="009234A6">
              <w:rPr>
                <w:rFonts w:ascii="ArialMT" w:hAnsi="ArialMT" w:cs="ArialMT"/>
                <w:b/>
                <w:noProof/>
                <w:szCs w:val="24"/>
              </w:rPr>
              <w:t>Market value at 31 March 2014</w:t>
            </w:r>
          </w:p>
        </w:tc>
        <w:tc>
          <w:tcPr>
            <w:tcW w:w="2550" w:type="dxa"/>
          </w:tcPr>
          <w:p w:rsidR="00AE221A" w:rsidRPr="009234A6" w:rsidRDefault="00AE221A" w:rsidP="00883B4E">
            <w:pPr>
              <w:autoSpaceDE w:val="0"/>
              <w:autoSpaceDN w:val="0"/>
              <w:adjustRightInd w:val="0"/>
              <w:jc w:val="center"/>
              <w:rPr>
                <w:rFonts w:ascii="ArialMT" w:hAnsi="ArialMT" w:cs="ArialMT"/>
                <w:b/>
                <w:noProof/>
                <w:szCs w:val="24"/>
              </w:rPr>
            </w:pPr>
            <w:r w:rsidRPr="009234A6">
              <w:rPr>
                <w:rFonts w:ascii="ArialMT" w:hAnsi="ArialMT" w:cs="ArialMT"/>
                <w:b/>
                <w:noProof/>
                <w:szCs w:val="24"/>
              </w:rPr>
              <w:t>Percentage of net assets of the Fund</w:t>
            </w:r>
          </w:p>
        </w:tc>
      </w:tr>
      <w:tr w:rsidR="00AE221A" w:rsidRPr="009234A6" w:rsidTr="00883B4E">
        <w:tc>
          <w:tcPr>
            <w:tcW w:w="4928" w:type="dxa"/>
          </w:tcPr>
          <w:p w:rsidR="00AE221A" w:rsidRPr="009234A6" w:rsidRDefault="00AE221A" w:rsidP="00883B4E">
            <w:pPr>
              <w:autoSpaceDE w:val="0"/>
              <w:autoSpaceDN w:val="0"/>
              <w:adjustRightInd w:val="0"/>
              <w:jc w:val="center"/>
              <w:rPr>
                <w:rFonts w:ascii="ArialMT" w:hAnsi="ArialMT" w:cs="ArialMT"/>
                <w:noProof/>
                <w:szCs w:val="24"/>
              </w:rPr>
            </w:pPr>
          </w:p>
        </w:tc>
        <w:tc>
          <w:tcPr>
            <w:tcW w:w="2128" w:type="dxa"/>
          </w:tcPr>
          <w:p w:rsidR="00AE221A" w:rsidRPr="009234A6" w:rsidRDefault="00AE221A" w:rsidP="00883B4E">
            <w:pPr>
              <w:autoSpaceDE w:val="0"/>
              <w:autoSpaceDN w:val="0"/>
              <w:adjustRightInd w:val="0"/>
              <w:jc w:val="center"/>
              <w:rPr>
                <w:rFonts w:ascii="ArialMT" w:hAnsi="ArialMT" w:cs="ArialMT"/>
                <w:b/>
                <w:noProof/>
                <w:szCs w:val="24"/>
              </w:rPr>
            </w:pPr>
            <w:r w:rsidRPr="009234A6">
              <w:rPr>
                <w:rFonts w:ascii="ArialMT" w:hAnsi="ArialMT" w:cs="ArialMT"/>
                <w:b/>
                <w:noProof/>
                <w:szCs w:val="24"/>
              </w:rPr>
              <w:t>£m</w:t>
            </w:r>
          </w:p>
        </w:tc>
        <w:tc>
          <w:tcPr>
            <w:tcW w:w="2550" w:type="dxa"/>
          </w:tcPr>
          <w:p w:rsidR="00AE221A" w:rsidRPr="009234A6" w:rsidRDefault="00AE221A" w:rsidP="00883B4E">
            <w:pPr>
              <w:autoSpaceDE w:val="0"/>
              <w:autoSpaceDN w:val="0"/>
              <w:adjustRightInd w:val="0"/>
              <w:jc w:val="center"/>
              <w:rPr>
                <w:rFonts w:ascii="ArialMT" w:hAnsi="ArialMT" w:cs="ArialMT"/>
                <w:b/>
                <w:noProof/>
                <w:szCs w:val="24"/>
              </w:rPr>
            </w:pPr>
            <w:r w:rsidRPr="009234A6">
              <w:rPr>
                <w:rFonts w:ascii="ArialMT" w:hAnsi="ArialMT" w:cs="ArialMT"/>
                <w:b/>
                <w:noProof/>
                <w:szCs w:val="24"/>
              </w:rPr>
              <w:t>%</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Prudential GBP 0.05</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24.0</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0.46</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British American Tobacco ORD GBP 0.25</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23.3</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0.45</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Nestle SA CHF 0.10 (Regd)</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22.5</w:t>
            </w:r>
          </w:p>
        </w:tc>
        <w:tc>
          <w:tcPr>
            <w:tcW w:w="2550" w:type="dxa"/>
          </w:tcPr>
          <w:p w:rsidR="00AE221A" w:rsidRDefault="00AE221A" w:rsidP="00883B4E">
            <w:pPr>
              <w:autoSpaceDE w:val="0"/>
              <w:autoSpaceDN w:val="0"/>
              <w:adjustRightInd w:val="0"/>
              <w:jc w:val="center"/>
              <w:rPr>
                <w:rFonts w:cs="Arial"/>
                <w:noProof/>
                <w:szCs w:val="24"/>
              </w:rPr>
            </w:pPr>
            <w:r w:rsidRPr="009234A6">
              <w:rPr>
                <w:rFonts w:cs="Arial"/>
                <w:noProof/>
                <w:szCs w:val="24"/>
              </w:rPr>
              <w:t>0.43</w:t>
            </w:r>
          </w:p>
          <w:p w:rsidR="00871C1A" w:rsidRPr="009234A6" w:rsidRDefault="00871C1A" w:rsidP="00883B4E">
            <w:pPr>
              <w:autoSpaceDE w:val="0"/>
              <w:autoSpaceDN w:val="0"/>
              <w:adjustRightInd w:val="0"/>
              <w:jc w:val="center"/>
              <w:rPr>
                <w:rFonts w:cs="Arial"/>
                <w:noProof/>
                <w:szCs w:val="24"/>
              </w:rPr>
            </w:pP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lastRenderedPageBreak/>
              <w:t>Royal Caribbean Cruises COM STK</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21.8</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0.42</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Naspers 'N' ZAR 0.02</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21.6</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0.42</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Unilever Plc ORD GBO 0.031111</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19.1</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0.37</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Roche Holdings AG GENUSSCHEINE NPV</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17.4</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0.34</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Reckitt Benck GRP ORD GBP0.10</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16.4</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0.32</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Google INC CLA</w:t>
            </w:r>
          </w:p>
          <w:p w:rsidR="00AE221A" w:rsidRPr="009234A6" w:rsidRDefault="00AE221A" w:rsidP="00883B4E">
            <w:pPr>
              <w:autoSpaceDE w:val="0"/>
              <w:autoSpaceDN w:val="0"/>
              <w:adjustRightInd w:val="0"/>
              <w:rPr>
                <w:rFonts w:cs="Arial"/>
                <w:noProof/>
                <w:szCs w:val="24"/>
              </w:rPr>
            </w:pP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15.9</w:t>
            </w: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0.31</w:t>
            </w:r>
          </w:p>
        </w:tc>
      </w:tr>
      <w:tr w:rsidR="00AE221A" w:rsidRPr="009234A6" w:rsidTr="00883B4E">
        <w:tc>
          <w:tcPr>
            <w:tcW w:w="4928" w:type="dxa"/>
          </w:tcPr>
          <w:p w:rsidR="00AE221A" w:rsidRPr="009234A6" w:rsidRDefault="00AE221A" w:rsidP="00883B4E">
            <w:pPr>
              <w:autoSpaceDE w:val="0"/>
              <w:autoSpaceDN w:val="0"/>
              <w:adjustRightInd w:val="0"/>
              <w:rPr>
                <w:rFonts w:cs="Arial"/>
                <w:noProof/>
                <w:szCs w:val="24"/>
              </w:rPr>
            </w:pPr>
            <w:r w:rsidRPr="009234A6">
              <w:rPr>
                <w:rFonts w:cs="Arial"/>
                <w:noProof/>
                <w:szCs w:val="24"/>
              </w:rPr>
              <w:t>Ryanair Holdings ORD EURO 0.00635</w:t>
            </w:r>
          </w:p>
        </w:tc>
        <w:tc>
          <w:tcPr>
            <w:tcW w:w="2128"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15.6</w:t>
            </w:r>
          </w:p>
          <w:p w:rsidR="00AE221A" w:rsidRPr="009234A6" w:rsidRDefault="00AE221A" w:rsidP="00883B4E">
            <w:pPr>
              <w:autoSpaceDE w:val="0"/>
              <w:autoSpaceDN w:val="0"/>
              <w:adjustRightInd w:val="0"/>
              <w:jc w:val="center"/>
              <w:rPr>
                <w:rFonts w:cs="Arial"/>
                <w:noProof/>
                <w:szCs w:val="24"/>
              </w:rPr>
            </w:pPr>
          </w:p>
        </w:tc>
        <w:tc>
          <w:tcPr>
            <w:tcW w:w="2550" w:type="dxa"/>
          </w:tcPr>
          <w:p w:rsidR="00AE221A" w:rsidRPr="009234A6" w:rsidRDefault="00AE221A" w:rsidP="00883B4E">
            <w:pPr>
              <w:autoSpaceDE w:val="0"/>
              <w:autoSpaceDN w:val="0"/>
              <w:adjustRightInd w:val="0"/>
              <w:jc w:val="center"/>
              <w:rPr>
                <w:rFonts w:cs="Arial"/>
                <w:noProof/>
                <w:szCs w:val="24"/>
              </w:rPr>
            </w:pPr>
            <w:r w:rsidRPr="009234A6">
              <w:rPr>
                <w:rFonts w:cs="Arial"/>
                <w:noProof/>
                <w:szCs w:val="24"/>
              </w:rPr>
              <w:t>0.30</w:t>
            </w:r>
          </w:p>
        </w:tc>
      </w:tr>
      <w:tr w:rsidR="00AE221A" w:rsidRPr="009234A6" w:rsidTr="00883B4E">
        <w:trPr>
          <w:trHeight w:val="437"/>
        </w:trPr>
        <w:tc>
          <w:tcPr>
            <w:tcW w:w="4928" w:type="dxa"/>
          </w:tcPr>
          <w:p w:rsidR="00AE221A" w:rsidRPr="009234A6" w:rsidRDefault="00AE221A" w:rsidP="00883B4E">
            <w:pPr>
              <w:autoSpaceDE w:val="0"/>
              <w:autoSpaceDN w:val="0"/>
              <w:adjustRightInd w:val="0"/>
              <w:spacing w:line="360" w:lineRule="auto"/>
              <w:jc w:val="center"/>
              <w:rPr>
                <w:rFonts w:cs="Arial"/>
                <w:noProof/>
                <w:szCs w:val="24"/>
              </w:rPr>
            </w:pPr>
          </w:p>
        </w:tc>
        <w:tc>
          <w:tcPr>
            <w:tcW w:w="2128" w:type="dxa"/>
          </w:tcPr>
          <w:p w:rsidR="00AE221A" w:rsidRPr="009234A6" w:rsidRDefault="00AE221A" w:rsidP="00883B4E">
            <w:pPr>
              <w:autoSpaceDE w:val="0"/>
              <w:autoSpaceDN w:val="0"/>
              <w:adjustRightInd w:val="0"/>
              <w:jc w:val="center"/>
              <w:rPr>
                <w:rFonts w:cs="Arial"/>
                <w:b/>
                <w:noProof/>
                <w:szCs w:val="24"/>
              </w:rPr>
            </w:pPr>
            <w:r w:rsidRPr="009234A6">
              <w:rPr>
                <w:rFonts w:cs="Arial"/>
                <w:b/>
                <w:noProof/>
                <w:szCs w:val="24"/>
              </w:rPr>
              <w:t>197.6</w:t>
            </w:r>
          </w:p>
        </w:tc>
        <w:tc>
          <w:tcPr>
            <w:tcW w:w="2550" w:type="dxa"/>
          </w:tcPr>
          <w:p w:rsidR="00AE221A" w:rsidRDefault="00AE221A" w:rsidP="00883B4E">
            <w:pPr>
              <w:autoSpaceDE w:val="0"/>
              <w:autoSpaceDN w:val="0"/>
              <w:adjustRightInd w:val="0"/>
              <w:jc w:val="center"/>
              <w:rPr>
                <w:rFonts w:cs="Arial"/>
                <w:b/>
                <w:noProof/>
                <w:szCs w:val="24"/>
              </w:rPr>
            </w:pPr>
            <w:r w:rsidRPr="009234A6">
              <w:rPr>
                <w:rFonts w:cs="Arial"/>
                <w:b/>
                <w:noProof/>
                <w:szCs w:val="24"/>
              </w:rPr>
              <w:t>3.82</w:t>
            </w:r>
          </w:p>
          <w:p w:rsidR="00AE221A" w:rsidRDefault="00AE221A" w:rsidP="00883B4E">
            <w:pPr>
              <w:autoSpaceDE w:val="0"/>
              <w:autoSpaceDN w:val="0"/>
              <w:adjustRightInd w:val="0"/>
              <w:jc w:val="center"/>
              <w:rPr>
                <w:rFonts w:cs="Arial"/>
                <w:b/>
                <w:noProof/>
                <w:szCs w:val="24"/>
              </w:rPr>
            </w:pPr>
          </w:p>
          <w:p w:rsidR="00AE221A" w:rsidRPr="009234A6" w:rsidRDefault="00AE221A" w:rsidP="00883B4E">
            <w:pPr>
              <w:autoSpaceDE w:val="0"/>
              <w:autoSpaceDN w:val="0"/>
              <w:adjustRightInd w:val="0"/>
              <w:jc w:val="center"/>
              <w:rPr>
                <w:rFonts w:cs="Arial"/>
                <w:b/>
                <w:noProof/>
                <w:szCs w:val="24"/>
              </w:rPr>
            </w:pPr>
          </w:p>
        </w:tc>
      </w:tr>
    </w:tbl>
    <w:p w:rsidR="00AE221A" w:rsidRDefault="00AE221A" w:rsidP="00AE221A">
      <w:pPr>
        <w:autoSpaceDE w:val="0"/>
        <w:autoSpaceDN w:val="0"/>
        <w:adjustRightInd w:val="0"/>
        <w:rPr>
          <w:rFonts w:ascii="ArialMT" w:hAnsi="ArialMT" w:cs="ArialMT"/>
          <w:szCs w:val="24"/>
        </w:rPr>
      </w:pPr>
    </w:p>
    <w:p w:rsidR="00AE221A" w:rsidRPr="00496AED" w:rsidRDefault="00A816DF" w:rsidP="00AE221A">
      <w:pPr>
        <w:autoSpaceDE w:val="0"/>
        <w:autoSpaceDN w:val="0"/>
        <w:adjustRightInd w:val="0"/>
        <w:rPr>
          <w:rFonts w:ascii="ArialMT" w:hAnsi="ArialMT" w:cs="ArialMT"/>
          <w:b/>
          <w:szCs w:val="24"/>
        </w:rPr>
      </w:pPr>
      <w:r>
        <w:rPr>
          <w:rFonts w:ascii="ArialMT" w:hAnsi="ArialMT" w:cs="ArialMT"/>
          <w:b/>
          <w:szCs w:val="24"/>
        </w:rPr>
        <w:t>Private equity and real assets</w:t>
      </w:r>
    </w:p>
    <w:p w:rsidR="00AE221A" w:rsidRPr="009234A6" w:rsidRDefault="00AE221A" w:rsidP="00AE221A">
      <w:pPr>
        <w:autoSpaceDE w:val="0"/>
        <w:autoSpaceDN w:val="0"/>
        <w:adjustRightInd w:val="0"/>
        <w:rPr>
          <w:rFonts w:ascii="ArialMT" w:hAnsi="ArialMT" w:cs="ArialMT"/>
          <w:szCs w:val="24"/>
        </w:rPr>
      </w:pPr>
    </w:p>
    <w:p w:rsidR="00AE221A" w:rsidRPr="00496AED" w:rsidRDefault="00AE221A" w:rsidP="00AE221A">
      <w:pPr>
        <w:autoSpaceDE w:val="0"/>
        <w:autoSpaceDN w:val="0"/>
        <w:adjustRightInd w:val="0"/>
        <w:rPr>
          <w:rFonts w:ascii="ArialMT" w:hAnsi="ArialMT" w:cs="ArialMT"/>
          <w:szCs w:val="24"/>
        </w:rPr>
      </w:pPr>
      <w:r w:rsidRPr="00496AED">
        <w:rPr>
          <w:rFonts w:ascii="ArialMT" w:hAnsi="ArialMT" w:cs="ArialMT"/>
          <w:szCs w:val="24"/>
        </w:rPr>
        <w:t xml:space="preserve">Other investment types that have been in place for more than one year are </w:t>
      </w:r>
      <w:r w:rsidR="00C37D85">
        <w:rPr>
          <w:rFonts w:ascii="ArialMT" w:hAnsi="ArialMT" w:cs="ArialMT"/>
          <w:szCs w:val="24"/>
        </w:rPr>
        <w:t>property</w:t>
      </w:r>
      <w:r w:rsidRPr="00496AED">
        <w:rPr>
          <w:rFonts w:ascii="ArialMT" w:hAnsi="ArialMT" w:cs="ArialMT"/>
          <w:szCs w:val="24"/>
        </w:rPr>
        <w:t>, infrastructure and private equity.  The annual and since inception performance of these investments is shown in the graphs below.</w:t>
      </w:r>
    </w:p>
    <w:p w:rsidR="00AE221A" w:rsidRDefault="00AE221A">
      <w:pPr>
        <w:ind w:left="360"/>
        <w:rPr>
          <w:b/>
          <w:sz w:val="28"/>
          <w:szCs w:val="28"/>
        </w:rPr>
      </w:pPr>
    </w:p>
    <w:p w:rsidR="00871C1A" w:rsidRDefault="00871C1A">
      <w:pPr>
        <w:ind w:left="360"/>
        <w:rPr>
          <w:b/>
          <w:sz w:val="28"/>
          <w:szCs w:val="28"/>
        </w:rPr>
      </w:pPr>
    </w:p>
    <w:p w:rsidR="00871C1A" w:rsidRDefault="00323E71">
      <w:pPr>
        <w:ind w:left="360"/>
        <w:rPr>
          <w:b/>
          <w:sz w:val="28"/>
          <w:szCs w:val="28"/>
        </w:rPr>
      </w:pPr>
      <w:r>
        <w:rPr>
          <w:b/>
          <w:noProof/>
          <w:sz w:val="28"/>
          <w:szCs w:val="28"/>
        </w:rPr>
        <w:drawing>
          <wp:inline distT="0" distB="0" distL="0" distR="0" wp14:anchorId="2F3581DA">
            <wp:extent cx="5468620" cy="40112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8620" cy="4011295"/>
                    </a:xfrm>
                    <a:prstGeom prst="rect">
                      <a:avLst/>
                    </a:prstGeom>
                    <a:noFill/>
                  </pic:spPr>
                </pic:pic>
              </a:graphicData>
            </a:graphic>
          </wp:inline>
        </w:drawing>
      </w:r>
    </w:p>
    <w:p w:rsidR="00FC5983" w:rsidRDefault="00FC5983">
      <w:pPr>
        <w:ind w:left="360"/>
        <w:rPr>
          <w:b/>
          <w:sz w:val="28"/>
          <w:szCs w:val="28"/>
        </w:rPr>
      </w:pPr>
    </w:p>
    <w:p w:rsidR="00FC5983" w:rsidRDefault="00FC5983">
      <w:pPr>
        <w:ind w:left="360"/>
        <w:rPr>
          <w:b/>
          <w:sz w:val="28"/>
          <w:szCs w:val="28"/>
        </w:rPr>
      </w:pPr>
    </w:p>
    <w:p w:rsidR="00FC5983" w:rsidRDefault="00323E71">
      <w:pPr>
        <w:ind w:left="360"/>
        <w:rPr>
          <w:b/>
          <w:sz w:val="28"/>
          <w:szCs w:val="28"/>
        </w:rPr>
      </w:pPr>
      <w:r>
        <w:rPr>
          <w:b/>
          <w:noProof/>
          <w:sz w:val="28"/>
          <w:szCs w:val="28"/>
        </w:rPr>
        <w:lastRenderedPageBreak/>
        <w:drawing>
          <wp:inline distT="0" distB="0" distL="0" distR="0" wp14:anchorId="16380A50">
            <wp:extent cx="5383530" cy="32308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3530" cy="3230880"/>
                    </a:xfrm>
                    <a:prstGeom prst="rect">
                      <a:avLst/>
                    </a:prstGeom>
                    <a:noFill/>
                  </pic:spPr>
                </pic:pic>
              </a:graphicData>
            </a:graphic>
          </wp:inline>
        </w:drawing>
      </w:r>
    </w:p>
    <w:p w:rsidR="00AE221A" w:rsidRDefault="00AE221A">
      <w:pPr>
        <w:ind w:left="360"/>
        <w:rPr>
          <w:b/>
          <w:sz w:val="28"/>
          <w:szCs w:val="28"/>
        </w:rPr>
      </w:pPr>
    </w:p>
    <w:p w:rsidR="00AE221A" w:rsidRDefault="00AE221A">
      <w:pPr>
        <w:ind w:left="360"/>
        <w:rPr>
          <w:b/>
          <w:sz w:val="28"/>
          <w:szCs w:val="28"/>
        </w:rPr>
      </w:pPr>
    </w:p>
    <w:p w:rsidR="00AE221A" w:rsidRDefault="00AE221A" w:rsidP="00AE221A">
      <w:pPr>
        <w:autoSpaceDE w:val="0"/>
        <w:autoSpaceDN w:val="0"/>
        <w:adjustRightInd w:val="0"/>
        <w:rPr>
          <w:rFonts w:ascii="Arial-BoldMT" w:hAnsi="Arial-BoldMT" w:cs="Arial-BoldMT"/>
          <w:bCs/>
          <w:szCs w:val="24"/>
        </w:rPr>
      </w:pPr>
      <w:r>
        <w:rPr>
          <w:rFonts w:ascii="Arial-BoldMT" w:hAnsi="Arial-BoldMT" w:cs="Arial-BoldMT"/>
          <w:bCs/>
          <w:szCs w:val="24"/>
        </w:rPr>
        <w:t xml:space="preserve">Annual valuations of these less liquid asset types can be affected by a number of factors and as with all of the Fund's investments, it is long term performance and the role that an investment plays in meeting the overall needs of the Fund that is key.  </w:t>
      </w:r>
    </w:p>
    <w:p w:rsidR="00AE221A" w:rsidRDefault="00AE221A" w:rsidP="00AE221A">
      <w:pPr>
        <w:autoSpaceDE w:val="0"/>
        <w:autoSpaceDN w:val="0"/>
        <w:adjustRightInd w:val="0"/>
        <w:rPr>
          <w:rFonts w:ascii="Arial-BoldMT" w:hAnsi="Arial-BoldMT" w:cs="Arial-BoldMT"/>
          <w:bCs/>
          <w:szCs w:val="24"/>
        </w:rPr>
      </w:pPr>
    </w:p>
    <w:p w:rsidR="00AE221A" w:rsidRDefault="00AE221A" w:rsidP="00AE221A">
      <w:pPr>
        <w:autoSpaceDE w:val="0"/>
        <w:autoSpaceDN w:val="0"/>
        <w:adjustRightInd w:val="0"/>
        <w:rPr>
          <w:rFonts w:ascii="Arial-BoldMT" w:hAnsi="Arial-BoldMT" w:cs="Arial-BoldMT"/>
          <w:bCs/>
          <w:szCs w:val="24"/>
        </w:rPr>
      </w:pPr>
      <w:r>
        <w:rPr>
          <w:rFonts w:ascii="Arial-BoldMT" w:hAnsi="Arial-BoldMT" w:cs="Arial-BoldMT"/>
          <w:bCs/>
          <w:szCs w:val="24"/>
        </w:rPr>
        <w:t xml:space="preserve">Whilst </w:t>
      </w:r>
      <w:r w:rsidR="00A816DF">
        <w:rPr>
          <w:rFonts w:ascii="Arial-BoldMT" w:hAnsi="Arial-BoldMT" w:cs="Arial-BoldMT"/>
          <w:bCs/>
          <w:szCs w:val="24"/>
        </w:rPr>
        <w:t>p</w:t>
      </w:r>
      <w:r>
        <w:rPr>
          <w:rFonts w:ascii="Arial-BoldMT" w:hAnsi="Arial-BoldMT" w:cs="Arial-BoldMT"/>
          <w:bCs/>
          <w:szCs w:val="24"/>
        </w:rPr>
        <w:t xml:space="preserve">rivate </w:t>
      </w:r>
      <w:r w:rsidR="00A816DF">
        <w:rPr>
          <w:rFonts w:ascii="Arial-BoldMT" w:hAnsi="Arial-BoldMT" w:cs="Arial-BoldMT"/>
          <w:bCs/>
          <w:szCs w:val="24"/>
        </w:rPr>
        <w:t>equity and i</w:t>
      </w:r>
      <w:r>
        <w:rPr>
          <w:rFonts w:ascii="Arial-BoldMT" w:hAnsi="Arial-BoldMT" w:cs="Arial-BoldMT"/>
          <w:bCs/>
          <w:szCs w:val="24"/>
        </w:rPr>
        <w:t xml:space="preserve">nfrastructure investments appear to have performed below benchmark during this period, the long term performance since those investments were made is strongly positive.  </w:t>
      </w:r>
    </w:p>
    <w:p w:rsidR="00AE221A" w:rsidRDefault="00AE221A" w:rsidP="00AE221A">
      <w:pPr>
        <w:autoSpaceDE w:val="0"/>
        <w:autoSpaceDN w:val="0"/>
        <w:adjustRightInd w:val="0"/>
        <w:rPr>
          <w:rFonts w:ascii="Arial-BoldMT" w:hAnsi="Arial-BoldMT" w:cs="Arial-BoldMT"/>
          <w:bCs/>
          <w:szCs w:val="24"/>
        </w:rPr>
      </w:pPr>
    </w:p>
    <w:p w:rsidR="00AE221A" w:rsidRDefault="00AE221A" w:rsidP="00AE221A">
      <w:pPr>
        <w:autoSpaceDE w:val="0"/>
        <w:autoSpaceDN w:val="0"/>
        <w:adjustRightInd w:val="0"/>
        <w:rPr>
          <w:rFonts w:ascii="Arial-BoldMT" w:hAnsi="Arial-BoldMT" w:cs="Arial-BoldMT"/>
          <w:bCs/>
          <w:szCs w:val="24"/>
        </w:rPr>
      </w:pPr>
      <w:r>
        <w:rPr>
          <w:rFonts w:ascii="Arial-BoldMT" w:hAnsi="Arial-BoldMT" w:cs="Arial-BoldMT"/>
          <w:bCs/>
          <w:szCs w:val="24"/>
        </w:rPr>
        <w:t>Private equity investments provide alternative opportunities to generate returns linked to movements in stock markets, but because of the higher level of engagement by asset managers in the investee companies, gives an expectation of better long term returns.  This return expectation has to be balanced with the higher risk profile and the lack of liquidity of these investments, which typically have to be held from 7-10 years before gains can be realised.</w:t>
      </w:r>
    </w:p>
    <w:p w:rsidR="00AE221A" w:rsidRDefault="00AE221A" w:rsidP="00AE221A">
      <w:pPr>
        <w:autoSpaceDE w:val="0"/>
        <w:autoSpaceDN w:val="0"/>
        <w:adjustRightInd w:val="0"/>
        <w:rPr>
          <w:rFonts w:ascii="Arial-BoldMT" w:hAnsi="Arial-BoldMT" w:cs="Arial-BoldMT"/>
          <w:bCs/>
          <w:szCs w:val="24"/>
        </w:rPr>
      </w:pPr>
    </w:p>
    <w:p w:rsidR="00AE221A" w:rsidRDefault="00AE221A" w:rsidP="00AE221A">
      <w:pPr>
        <w:autoSpaceDE w:val="0"/>
        <w:autoSpaceDN w:val="0"/>
        <w:adjustRightInd w:val="0"/>
        <w:rPr>
          <w:rFonts w:ascii="Arial-BoldMT" w:hAnsi="Arial-BoldMT" w:cs="Arial-BoldMT"/>
          <w:bCs/>
          <w:szCs w:val="24"/>
        </w:rPr>
      </w:pPr>
      <w:r>
        <w:rPr>
          <w:rFonts w:ascii="Arial-BoldMT" w:hAnsi="Arial-BoldMT" w:cs="Arial-BoldMT"/>
          <w:bCs/>
          <w:szCs w:val="24"/>
        </w:rPr>
        <w:t>Infrastructure investments offer long-term returns that are expected to closely match the Fund's investment needs and in addition provide an important source of diversification.  As well as investing in traditional infrastructure funds, the Fund has made a number of direct investments in global infrastructure, notably in the renewable energy sector.  The ability to invest directly minimises fee costs and has enabled the Fund to negotiate favourable investment terms which have delivered excellent performance since inception.</w:t>
      </w:r>
    </w:p>
    <w:p w:rsidR="00AE221A" w:rsidRDefault="00AE221A" w:rsidP="00AE221A">
      <w:pPr>
        <w:autoSpaceDE w:val="0"/>
        <w:autoSpaceDN w:val="0"/>
        <w:adjustRightInd w:val="0"/>
        <w:rPr>
          <w:rFonts w:ascii="Arial-BoldMT" w:hAnsi="Arial-BoldMT" w:cs="Arial-BoldMT"/>
          <w:bCs/>
          <w:szCs w:val="24"/>
        </w:rPr>
      </w:pPr>
    </w:p>
    <w:p w:rsidR="00AE221A" w:rsidRDefault="00A816DF" w:rsidP="00AE221A">
      <w:pPr>
        <w:autoSpaceDE w:val="0"/>
        <w:autoSpaceDN w:val="0"/>
        <w:adjustRightInd w:val="0"/>
        <w:rPr>
          <w:rFonts w:ascii="Arial-BoldMT" w:hAnsi="Arial-BoldMT" w:cs="Arial-BoldMT"/>
          <w:bCs/>
          <w:szCs w:val="24"/>
        </w:rPr>
      </w:pPr>
      <w:r>
        <w:rPr>
          <w:rFonts w:ascii="Arial-BoldMT" w:hAnsi="Arial-BoldMT" w:cs="Arial-BoldMT"/>
          <w:bCs/>
          <w:szCs w:val="24"/>
        </w:rPr>
        <w:t>Property</w:t>
      </w:r>
      <w:r w:rsidR="00AE221A">
        <w:rPr>
          <w:rFonts w:ascii="Arial-BoldMT" w:hAnsi="Arial-BoldMT" w:cs="Arial-BoldMT"/>
          <w:bCs/>
          <w:szCs w:val="24"/>
        </w:rPr>
        <w:t xml:space="preserve"> has performed well against benchmark during this period, due to the specific characteristics of the portfolio; and in the long term is slightly ahead of the benchmark return.  </w:t>
      </w:r>
      <w:r>
        <w:rPr>
          <w:rFonts w:ascii="Arial-BoldMT" w:hAnsi="Arial-BoldMT" w:cs="Arial-BoldMT"/>
          <w:bCs/>
          <w:szCs w:val="24"/>
        </w:rPr>
        <w:t>Property</w:t>
      </w:r>
      <w:r w:rsidR="00AE221A">
        <w:rPr>
          <w:rFonts w:ascii="Arial-BoldMT" w:hAnsi="Arial-BoldMT" w:cs="Arial-BoldMT"/>
          <w:bCs/>
          <w:szCs w:val="24"/>
        </w:rPr>
        <w:t xml:space="preserve"> investments play an important role in the Fund, both because of the diversification benefits that they bring and also because</w:t>
      </w:r>
      <w:r w:rsidR="00871C1A">
        <w:rPr>
          <w:rFonts w:ascii="Arial-BoldMT" w:hAnsi="Arial-BoldMT" w:cs="Arial-BoldMT"/>
          <w:bCs/>
          <w:szCs w:val="24"/>
        </w:rPr>
        <w:t xml:space="preserve"> of</w:t>
      </w:r>
      <w:r w:rsidR="00AE221A">
        <w:rPr>
          <w:rFonts w:ascii="Arial-BoldMT" w:hAnsi="Arial-BoldMT" w:cs="Arial-BoldMT"/>
          <w:bCs/>
          <w:szCs w:val="24"/>
        </w:rPr>
        <w:t xml:space="preserve"> the generate</w:t>
      </w:r>
      <w:r w:rsidR="00871C1A">
        <w:rPr>
          <w:rFonts w:ascii="Arial-BoldMT" w:hAnsi="Arial-BoldMT" w:cs="Arial-BoldMT"/>
          <w:bCs/>
          <w:szCs w:val="24"/>
        </w:rPr>
        <w:t>d</w:t>
      </w:r>
      <w:r w:rsidR="00AE221A">
        <w:rPr>
          <w:rFonts w:ascii="Arial-BoldMT" w:hAnsi="Arial-BoldMT" w:cs="Arial-BoldMT"/>
          <w:bCs/>
          <w:szCs w:val="24"/>
        </w:rPr>
        <w:t xml:space="preserve"> rental income which can be used to fund member benefits without the need to liquidate other investments.</w:t>
      </w:r>
    </w:p>
    <w:p w:rsidR="008A28A2" w:rsidRDefault="008A28A2" w:rsidP="00AE221A">
      <w:pPr>
        <w:autoSpaceDE w:val="0"/>
        <w:autoSpaceDN w:val="0"/>
        <w:adjustRightInd w:val="0"/>
        <w:rPr>
          <w:rFonts w:ascii="Arial-BoldMT" w:hAnsi="Arial-BoldMT" w:cs="Arial-BoldMT"/>
          <w:bCs/>
          <w:szCs w:val="24"/>
        </w:rPr>
      </w:pPr>
    </w:p>
    <w:p w:rsidR="008A28A2" w:rsidRDefault="008A28A2" w:rsidP="00AE221A">
      <w:pPr>
        <w:autoSpaceDE w:val="0"/>
        <w:autoSpaceDN w:val="0"/>
        <w:adjustRightInd w:val="0"/>
        <w:rPr>
          <w:rFonts w:ascii="Arial-BoldMT" w:hAnsi="Arial-BoldMT" w:cs="Arial-BoldMT"/>
          <w:bCs/>
          <w:szCs w:val="24"/>
        </w:rPr>
      </w:pPr>
    </w:p>
    <w:p w:rsidR="008A28A2" w:rsidRDefault="008A28A2" w:rsidP="00AE221A">
      <w:pPr>
        <w:autoSpaceDE w:val="0"/>
        <w:autoSpaceDN w:val="0"/>
        <w:adjustRightInd w:val="0"/>
        <w:rPr>
          <w:rFonts w:ascii="Arial-BoldMT" w:hAnsi="Arial-BoldMT" w:cs="Arial-BoldMT"/>
          <w:bCs/>
          <w:szCs w:val="24"/>
        </w:rPr>
      </w:pPr>
    </w:p>
    <w:p w:rsidR="00AE221A" w:rsidRDefault="00AE221A" w:rsidP="00AE221A">
      <w:pPr>
        <w:spacing w:line="276" w:lineRule="auto"/>
        <w:rPr>
          <w:rFonts w:ascii="ArialMT" w:hAnsi="ArialMT" w:cs="ArialMT"/>
          <w:noProof/>
          <w:szCs w:val="24"/>
        </w:rPr>
      </w:pPr>
    </w:p>
    <w:p w:rsidR="00FC5983" w:rsidRDefault="00FC5983" w:rsidP="00AE221A">
      <w:pPr>
        <w:spacing w:line="276" w:lineRule="auto"/>
        <w:rPr>
          <w:rFonts w:ascii="ArialMT" w:hAnsi="ArialMT" w:cs="ArialMT"/>
          <w:noProof/>
          <w:szCs w:val="24"/>
        </w:rPr>
      </w:pPr>
    </w:p>
    <w:p w:rsidR="00AE221A" w:rsidRDefault="00AE221A" w:rsidP="00AE221A">
      <w:pPr>
        <w:autoSpaceDE w:val="0"/>
        <w:autoSpaceDN w:val="0"/>
        <w:adjustRightInd w:val="0"/>
        <w:rPr>
          <w:rFonts w:ascii="ArialMT" w:hAnsi="ArialMT" w:cs="ArialMT"/>
          <w:noProof/>
          <w:szCs w:val="24"/>
        </w:rPr>
      </w:pPr>
      <w:r w:rsidRPr="009234A6">
        <w:rPr>
          <w:rFonts w:ascii="ArialMT" w:hAnsi="ArialMT" w:cs="ArialMT"/>
          <w:noProof/>
          <w:szCs w:val="24"/>
        </w:rPr>
        <w:lastRenderedPageBreak/>
        <w:t>The largest ten direct property holdings of the Fund at 31 March 2014 were:</w:t>
      </w:r>
    </w:p>
    <w:p w:rsidR="0076770B" w:rsidRDefault="0076770B" w:rsidP="00AE221A">
      <w:pPr>
        <w:autoSpaceDE w:val="0"/>
        <w:autoSpaceDN w:val="0"/>
        <w:adjustRightInd w:val="0"/>
        <w:rPr>
          <w:rFonts w:ascii="ArialMT" w:hAnsi="ArialMT" w:cs="ArialMT"/>
          <w:noProof/>
          <w:szCs w:val="24"/>
        </w:rPr>
      </w:pPr>
    </w:p>
    <w:p w:rsidR="00AE221A" w:rsidRPr="009234A6" w:rsidRDefault="00AE221A" w:rsidP="00AE221A">
      <w:pPr>
        <w:autoSpaceDE w:val="0"/>
        <w:autoSpaceDN w:val="0"/>
        <w:adjustRightInd w:val="0"/>
        <w:rPr>
          <w:rFonts w:ascii="ArialMT" w:hAnsi="ArialMT" w:cs="ArialMT"/>
          <w:szCs w:val="24"/>
        </w:rPr>
      </w:pPr>
    </w:p>
    <w:tbl>
      <w:tblPr>
        <w:tblW w:w="0" w:type="auto"/>
        <w:tblLook w:val="04A0" w:firstRow="1" w:lastRow="0" w:firstColumn="1" w:lastColumn="0" w:noHBand="0" w:noVBand="1"/>
      </w:tblPr>
      <w:tblGrid>
        <w:gridCol w:w="534"/>
        <w:gridCol w:w="5244"/>
        <w:gridCol w:w="2835"/>
        <w:gridCol w:w="1701"/>
      </w:tblGrid>
      <w:tr w:rsidR="00AE221A" w:rsidRPr="009234A6" w:rsidTr="00883B4E">
        <w:tc>
          <w:tcPr>
            <w:tcW w:w="534" w:type="dxa"/>
            <w:vAlign w:val="bottom"/>
          </w:tcPr>
          <w:p w:rsidR="00AE221A" w:rsidRPr="009234A6" w:rsidRDefault="00AE221A" w:rsidP="00883B4E">
            <w:pPr>
              <w:jc w:val="center"/>
              <w:rPr>
                <w:b/>
                <w:snapToGrid w:val="0"/>
                <w:szCs w:val="24"/>
                <w:lang w:eastAsia="en-US"/>
              </w:rPr>
            </w:pPr>
          </w:p>
        </w:tc>
        <w:tc>
          <w:tcPr>
            <w:tcW w:w="5244" w:type="dxa"/>
            <w:vAlign w:val="bottom"/>
          </w:tcPr>
          <w:p w:rsidR="00AE221A" w:rsidRPr="00AE221A" w:rsidRDefault="00AE221A" w:rsidP="00883B4E">
            <w:pPr>
              <w:rPr>
                <w:b/>
                <w:snapToGrid w:val="0"/>
                <w:sz w:val="22"/>
                <w:szCs w:val="22"/>
                <w:lang w:eastAsia="en-US"/>
              </w:rPr>
            </w:pPr>
            <w:r w:rsidRPr="00AE221A">
              <w:rPr>
                <w:b/>
                <w:snapToGrid w:val="0"/>
                <w:sz w:val="22"/>
                <w:szCs w:val="22"/>
                <w:lang w:eastAsia="en-US"/>
              </w:rPr>
              <w:t>Property</w:t>
            </w:r>
          </w:p>
          <w:p w:rsidR="00AE221A" w:rsidRPr="00AE221A" w:rsidRDefault="00AE221A" w:rsidP="00883B4E">
            <w:pPr>
              <w:jc w:val="center"/>
              <w:rPr>
                <w:b/>
                <w:sz w:val="22"/>
                <w:szCs w:val="22"/>
              </w:rPr>
            </w:pPr>
          </w:p>
        </w:tc>
        <w:tc>
          <w:tcPr>
            <w:tcW w:w="2835" w:type="dxa"/>
            <w:vAlign w:val="bottom"/>
          </w:tcPr>
          <w:p w:rsidR="00AE221A" w:rsidRPr="00AE221A" w:rsidRDefault="00AE221A" w:rsidP="00883B4E">
            <w:pPr>
              <w:rPr>
                <w:b/>
                <w:snapToGrid w:val="0"/>
                <w:sz w:val="22"/>
                <w:szCs w:val="22"/>
                <w:lang w:eastAsia="en-US"/>
              </w:rPr>
            </w:pPr>
            <w:r w:rsidRPr="00AE221A">
              <w:rPr>
                <w:b/>
                <w:snapToGrid w:val="0"/>
                <w:sz w:val="22"/>
                <w:szCs w:val="22"/>
                <w:lang w:eastAsia="en-US"/>
              </w:rPr>
              <w:t>Sector</w:t>
            </w:r>
          </w:p>
          <w:p w:rsidR="00AE221A" w:rsidRPr="00AE221A" w:rsidRDefault="00AE221A" w:rsidP="00883B4E">
            <w:pPr>
              <w:jc w:val="center"/>
              <w:rPr>
                <w:b/>
                <w:sz w:val="22"/>
                <w:szCs w:val="22"/>
              </w:rPr>
            </w:pPr>
          </w:p>
        </w:tc>
        <w:tc>
          <w:tcPr>
            <w:tcW w:w="1701" w:type="dxa"/>
            <w:vAlign w:val="bottom"/>
          </w:tcPr>
          <w:p w:rsidR="00AE221A" w:rsidRPr="00AE221A" w:rsidRDefault="00AE221A" w:rsidP="00883B4E">
            <w:pPr>
              <w:jc w:val="center"/>
              <w:rPr>
                <w:b/>
                <w:snapToGrid w:val="0"/>
                <w:sz w:val="22"/>
                <w:szCs w:val="22"/>
                <w:lang w:eastAsia="en-US"/>
              </w:rPr>
            </w:pPr>
            <w:r w:rsidRPr="00AE221A">
              <w:rPr>
                <w:b/>
                <w:snapToGrid w:val="0"/>
                <w:sz w:val="22"/>
                <w:szCs w:val="22"/>
                <w:lang w:eastAsia="en-US"/>
              </w:rPr>
              <w:t>Market value</w:t>
            </w:r>
          </w:p>
          <w:p w:rsidR="00AE221A" w:rsidRPr="00AE221A" w:rsidRDefault="00AE221A" w:rsidP="00883B4E">
            <w:pPr>
              <w:jc w:val="center"/>
              <w:rPr>
                <w:b/>
                <w:snapToGrid w:val="0"/>
                <w:sz w:val="22"/>
                <w:szCs w:val="22"/>
                <w:lang w:eastAsia="en-US"/>
              </w:rPr>
            </w:pPr>
            <w:r w:rsidRPr="00AE221A">
              <w:rPr>
                <w:b/>
                <w:snapToGrid w:val="0"/>
                <w:sz w:val="22"/>
                <w:szCs w:val="22"/>
                <w:lang w:eastAsia="en-US"/>
              </w:rPr>
              <w:t>£m</w:t>
            </w:r>
          </w:p>
          <w:p w:rsidR="00AE221A" w:rsidRPr="00AE221A" w:rsidRDefault="00AE221A" w:rsidP="00883B4E">
            <w:pPr>
              <w:jc w:val="center"/>
              <w:rPr>
                <w:b/>
                <w:sz w:val="22"/>
                <w:szCs w:val="22"/>
              </w:rPr>
            </w:pP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Sainsburys Store, Chesham</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napToGrid w:val="0"/>
                <w:szCs w:val="24"/>
                <w:lang w:eastAsia="en-US"/>
              </w:rPr>
            </w:pPr>
            <w:r w:rsidRPr="00871C1A">
              <w:rPr>
                <w:rFonts w:cs="Arial"/>
                <w:snapToGrid w:val="0"/>
                <w:szCs w:val="24"/>
                <w:lang w:eastAsia="en-US"/>
              </w:rPr>
              <w:t>Shops</w:t>
            </w:r>
          </w:p>
          <w:p w:rsidR="00AE221A" w:rsidRPr="00871C1A" w:rsidRDefault="00AE221A" w:rsidP="00883B4E">
            <w:pPr>
              <w:rPr>
                <w:rFonts w:cs="Arial"/>
                <w:snapToGrid w:val="0"/>
                <w:szCs w:val="24"/>
                <w:lang w:eastAsia="en-US"/>
              </w:rPr>
            </w:pPr>
          </w:p>
        </w:tc>
        <w:tc>
          <w:tcPr>
            <w:tcW w:w="1701" w:type="dxa"/>
            <w:vAlign w:val="center"/>
          </w:tcPr>
          <w:p w:rsidR="00AE221A" w:rsidRPr="00871C1A" w:rsidRDefault="00AE221A" w:rsidP="00883B4E">
            <w:pPr>
              <w:jc w:val="right"/>
              <w:rPr>
                <w:rFonts w:cs="Arial"/>
                <w:szCs w:val="24"/>
              </w:rPr>
            </w:pPr>
            <w:r w:rsidRPr="00871C1A">
              <w:rPr>
                <w:rFonts w:cs="Arial"/>
                <w:szCs w:val="24"/>
              </w:rPr>
              <w:t>31.3</w:t>
            </w:r>
          </w:p>
          <w:p w:rsidR="00AE221A" w:rsidRPr="00871C1A" w:rsidRDefault="00AE221A" w:rsidP="00883B4E">
            <w:pPr>
              <w:jc w:val="right"/>
              <w:rPr>
                <w:rFonts w:cs="Arial"/>
                <w:szCs w:val="24"/>
              </w:rPr>
            </w:pP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Princes Mead Shopping Centre, Farnborough</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Shopping Centre</w:t>
            </w:r>
          </w:p>
        </w:tc>
        <w:tc>
          <w:tcPr>
            <w:tcW w:w="1701" w:type="dxa"/>
            <w:vAlign w:val="center"/>
          </w:tcPr>
          <w:p w:rsidR="00AE221A" w:rsidRPr="00871C1A" w:rsidRDefault="00AE221A" w:rsidP="00883B4E">
            <w:pPr>
              <w:jc w:val="right"/>
              <w:rPr>
                <w:rFonts w:cs="Arial"/>
                <w:szCs w:val="24"/>
              </w:rPr>
            </w:pPr>
            <w:r w:rsidRPr="00871C1A">
              <w:rPr>
                <w:rFonts w:cs="Arial"/>
                <w:szCs w:val="24"/>
              </w:rPr>
              <w:t>24.5</w:t>
            </w: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St Edmundsbury Retail Park, Bury St Edmunds</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Retail Warehouse</w:t>
            </w:r>
          </w:p>
        </w:tc>
        <w:tc>
          <w:tcPr>
            <w:tcW w:w="1701" w:type="dxa"/>
            <w:vAlign w:val="center"/>
          </w:tcPr>
          <w:p w:rsidR="00AE221A" w:rsidRPr="00871C1A" w:rsidRDefault="00AE221A" w:rsidP="00883B4E">
            <w:pPr>
              <w:jc w:val="right"/>
              <w:rPr>
                <w:rFonts w:cs="Arial"/>
                <w:szCs w:val="24"/>
              </w:rPr>
            </w:pPr>
            <w:r w:rsidRPr="00871C1A">
              <w:rPr>
                <w:rFonts w:cs="Arial"/>
                <w:szCs w:val="24"/>
              </w:rPr>
              <w:t>19.6</w:t>
            </w: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1-3 Dufferin Street, London</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Offices</w:t>
            </w:r>
          </w:p>
          <w:p w:rsidR="00AE221A" w:rsidRPr="00871C1A" w:rsidRDefault="00AE221A" w:rsidP="00883B4E">
            <w:pPr>
              <w:rPr>
                <w:rFonts w:cs="Arial"/>
                <w:szCs w:val="24"/>
              </w:rPr>
            </w:pPr>
          </w:p>
        </w:tc>
        <w:tc>
          <w:tcPr>
            <w:tcW w:w="1701" w:type="dxa"/>
            <w:vAlign w:val="center"/>
          </w:tcPr>
          <w:p w:rsidR="00AE221A" w:rsidRPr="00871C1A" w:rsidRDefault="00AE221A" w:rsidP="00883B4E">
            <w:pPr>
              <w:jc w:val="right"/>
              <w:rPr>
                <w:rFonts w:cs="Arial"/>
                <w:szCs w:val="24"/>
              </w:rPr>
            </w:pPr>
            <w:r w:rsidRPr="00871C1A">
              <w:rPr>
                <w:rFonts w:cs="Arial"/>
                <w:szCs w:val="24"/>
              </w:rPr>
              <w:t>18.5</w:t>
            </w:r>
          </w:p>
          <w:p w:rsidR="00AE221A" w:rsidRPr="00871C1A" w:rsidRDefault="00AE221A" w:rsidP="00883B4E">
            <w:pPr>
              <w:jc w:val="right"/>
              <w:rPr>
                <w:rFonts w:cs="Arial"/>
                <w:szCs w:val="24"/>
              </w:rPr>
            </w:pP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Tuscany Way, Wakefield</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Industrial / Warehouse</w:t>
            </w:r>
          </w:p>
          <w:p w:rsidR="00AE221A" w:rsidRPr="00871C1A" w:rsidRDefault="00AE221A" w:rsidP="00883B4E">
            <w:pPr>
              <w:rPr>
                <w:rFonts w:cs="Arial"/>
                <w:szCs w:val="24"/>
              </w:rPr>
            </w:pPr>
          </w:p>
        </w:tc>
        <w:tc>
          <w:tcPr>
            <w:tcW w:w="1701" w:type="dxa"/>
            <w:vAlign w:val="center"/>
          </w:tcPr>
          <w:p w:rsidR="00AE221A" w:rsidRPr="00871C1A" w:rsidRDefault="00AE221A" w:rsidP="00883B4E">
            <w:pPr>
              <w:jc w:val="right"/>
              <w:rPr>
                <w:rFonts w:cs="Arial"/>
                <w:szCs w:val="24"/>
              </w:rPr>
            </w:pPr>
            <w:r w:rsidRPr="00871C1A">
              <w:rPr>
                <w:rFonts w:cs="Arial"/>
                <w:szCs w:val="24"/>
              </w:rPr>
              <w:t>17.5</w:t>
            </w: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Benson House, Leeds</w:t>
            </w:r>
          </w:p>
          <w:p w:rsidR="00AE221A" w:rsidRPr="00871C1A" w:rsidRDefault="00AE221A" w:rsidP="00883B4E">
            <w:pPr>
              <w:rPr>
                <w:rFonts w:cs="Arial"/>
                <w:szCs w:val="24"/>
              </w:rPr>
            </w:pPr>
          </w:p>
        </w:tc>
        <w:tc>
          <w:tcPr>
            <w:tcW w:w="2835" w:type="dxa"/>
            <w:vAlign w:val="center"/>
          </w:tcPr>
          <w:p w:rsidR="00AE221A" w:rsidRPr="00871C1A" w:rsidRDefault="00AE221A" w:rsidP="00883B4E">
            <w:pPr>
              <w:keepNext/>
              <w:outlineLvl w:val="2"/>
              <w:rPr>
                <w:rFonts w:cs="Arial"/>
                <w:szCs w:val="24"/>
              </w:rPr>
            </w:pPr>
            <w:r w:rsidRPr="00871C1A">
              <w:rPr>
                <w:rFonts w:cs="Arial"/>
                <w:szCs w:val="24"/>
              </w:rPr>
              <w:t>Offices</w:t>
            </w:r>
          </w:p>
          <w:p w:rsidR="00AE221A" w:rsidRPr="00871C1A" w:rsidRDefault="00AE221A" w:rsidP="00883B4E">
            <w:pPr>
              <w:keepNext/>
              <w:outlineLvl w:val="2"/>
              <w:rPr>
                <w:rFonts w:cs="Arial"/>
                <w:szCs w:val="24"/>
              </w:rPr>
            </w:pPr>
          </w:p>
        </w:tc>
        <w:tc>
          <w:tcPr>
            <w:tcW w:w="1701" w:type="dxa"/>
            <w:vAlign w:val="center"/>
          </w:tcPr>
          <w:p w:rsidR="00AE221A" w:rsidRPr="00871C1A" w:rsidRDefault="00AE221A" w:rsidP="00883B4E">
            <w:pPr>
              <w:keepNext/>
              <w:jc w:val="right"/>
              <w:outlineLvl w:val="2"/>
              <w:rPr>
                <w:rFonts w:cs="Arial"/>
                <w:szCs w:val="24"/>
              </w:rPr>
            </w:pPr>
            <w:r w:rsidRPr="00871C1A">
              <w:rPr>
                <w:rFonts w:cs="Arial"/>
                <w:szCs w:val="24"/>
              </w:rPr>
              <w:t>17.2</w:t>
            </w:r>
          </w:p>
          <w:p w:rsidR="00AE221A" w:rsidRPr="00871C1A" w:rsidRDefault="00AE221A" w:rsidP="00883B4E">
            <w:pPr>
              <w:keepNext/>
              <w:jc w:val="right"/>
              <w:outlineLvl w:val="2"/>
              <w:rPr>
                <w:rFonts w:cs="Arial"/>
                <w:szCs w:val="24"/>
              </w:rPr>
            </w:pP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Tuttles Lane, Wymondham</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Shops</w:t>
            </w:r>
          </w:p>
          <w:p w:rsidR="00AE221A" w:rsidRPr="00871C1A" w:rsidRDefault="00AE221A" w:rsidP="00883B4E">
            <w:pPr>
              <w:rPr>
                <w:rFonts w:cs="Arial"/>
                <w:szCs w:val="24"/>
              </w:rPr>
            </w:pPr>
          </w:p>
        </w:tc>
        <w:tc>
          <w:tcPr>
            <w:tcW w:w="1701" w:type="dxa"/>
            <w:vAlign w:val="center"/>
          </w:tcPr>
          <w:p w:rsidR="00AE221A" w:rsidRPr="00871C1A" w:rsidRDefault="00AE221A" w:rsidP="00883B4E">
            <w:pPr>
              <w:jc w:val="right"/>
              <w:rPr>
                <w:rFonts w:cs="Arial"/>
                <w:szCs w:val="24"/>
              </w:rPr>
            </w:pPr>
            <w:r w:rsidRPr="00871C1A">
              <w:rPr>
                <w:rFonts w:cs="Arial"/>
                <w:szCs w:val="24"/>
              </w:rPr>
              <w:t>16.7</w:t>
            </w:r>
          </w:p>
          <w:p w:rsidR="00AE221A" w:rsidRPr="00871C1A" w:rsidRDefault="00AE221A" w:rsidP="00883B4E">
            <w:pPr>
              <w:jc w:val="right"/>
              <w:rPr>
                <w:rFonts w:cs="Arial"/>
                <w:szCs w:val="24"/>
              </w:rPr>
            </w:pP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Weir Road, Wimbledon</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Industrial / Warehouse</w:t>
            </w:r>
          </w:p>
          <w:p w:rsidR="00AE221A" w:rsidRPr="00871C1A" w:rsidRDefault="00AE221A" w:rsidP="00883B4E">
            <w:pPr>
              <w:rPr>
                <w:rFonts w:cs="Arial"/>
                <w:szCs w:val="24"/>
              </w:rPr>
            </w:pPr>
          </w:p>
        </w:tc>
        <w:tc>
          <w:tcPr>
            <w:tcW w:w="1701" w:type="dxa"/>
            <w:vAlign w:val="center"/>
          </w:tcPr>
          <w:p w:rsidR="00AE221A" w:rsidRPr="00871C1A" w:rsidRDefault="00AE221A" w:rsidP="00883B4E">
            <w:pPr>
              <w:jc w:val="right"/>
              <w:rPr>
                <w:rFonts w:cs="Arial"/>
                <w:szCs w:val="24"/>
              </w:rPr>
            </w:pPr>
            <w:r w:rsidRPr="00871C1A">
              <w:rPr>
                <w:rFonts w:cs="Arial"/>
                <w:szCs w:val="24"/>
              </w:rPr>
              <w:t>15.6</w:t>
            </w: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zCs w:val="24"/>
              </w:rPr>
            </w:pPr>
            <w:r w:rsidRPr="00871C1A">
              <w:rPr>
                <w:rFonts w:cs="Arial"/>
                <w:szCs w:val="24"/>
              </w:rPr>
              <w:t>Woodbridge Meadows, Guildford</w:t>
            </w:r>
          </w:p>
          <w:p w:rsidR="00AE221A" w:rsidRPr="00871C1A" w:rsidRDefault="00AE221A" w:rsidP="00883B4E">
            <w:pPr>
              <w:rPr>
                <w:rFonts w:cs="Arial"/>
                <w:szCs w:val="24"/>
              </w:rPr>
            </w:pPr>
          </w:p>
        </w:tc>
        <w:tc>
          <w:tcPr>
            <w:tcW w:w="2835" w:type="dxa"/>
            <w:vAlign w:val="center"/>
          </w:tcPr>
          <w:p w:rsidR="00AE221A" w:rsidRPr="00871C1A" w:rsidRDefault="00AE221A" w:rsidP="00883B4E">
            <w:pPr>
              <w:rPr>
                <w:rFonts w:cs="Arial"/>
                <w:szCs w:val="24"/>
              </w:rPr>
            </w:pPr>
            <w:r w:rsidRPr="00871C1A">
              <w:rPr>
                <w:rFonts w:cs="Arial"/>
                <w:szCs w:val="24"/>
              </w:rPr>
              <w:t>Hotel / Commercial</w:t>
            </w:r>
          </w:p>
          <w:p w:rsidR="00AE221A" w:rsidRPr="00871C1A" w:rsidRDefault="00AE221A" w:rsidP="00883B4E">
            <w:pPr>
              <w:rPr>
                <w:rFonts w:cs="Arial"/>
                <w:szCs w:val="24"/>
              </w:rPr>
            </w:pPr>
          </w:p>
        </w:tc>
        <w:tc>
          <w:tcPr>
            <w:tcW w:w="1701" w:type="dxa"/>
            <w:vAlign w:val="center"/>
          </w:tcPr>
          <w:p w:rsidR="00AE221A" w:rsidRPr="00871C1A" w:rsidRDefault="00AE221A" w:rsidP="00883B4E">
            <w:pPr>
              <w:jc w:val="right"/>
              <w:rPr>
                <w:rFonts w:cs="Arial"/>
                <w:szCs w:val="24"/>
              </w:rPr>
            </w:pPr>
            <w:r w:rsidRPr="00871C1A">
              <w:rPr>
                <w:rFonts w:cs="Arial"/>
                <w:szCs w:val="24"/>
              </w:rPr>
              <w:t>15.0</w:t>
            </w:r>
          </w:p>
          <w:p w:rsidR="00AE221A" w:rsidRPr="00871C1A" w:rsidRDefault="00AE221A" w:rsidP="00883B4E">
            <w:pPr>
              <w:jc w:val="right"/>
              <w:rPr>
                <w:rFonts w:cs="Arial"/>
                <w:szCs w:val="24"/>
              </w:rPr>
            </w:pPr>
          </w:p>
        </w:tc>
      </w:tr>
      <w:tr w:rsidR="00AE221A" w:rsidRPr="009234A6" w:rsidTr="00883B4E">
        <w:trPr>
          <w:trHeight w:val="397"/>
        </w:trPr>
        <w:tc>
          <w:tcPr>
            <w:tcW w:w="534" w:type="dxa"/>
          </w:tcPr>
          <w:p w:rsidR="00AE221A" w:rsidRPr="009234A6" w:rsidRDefault="00AE221A" w:rsidP="00883B4E">
            <w:pPr>
              <w:rPr>
                <w:snapToGrid w:val="0"/>
                <w:sz w:val="22"/>
                <w:szCs w:val="22"/>
                <w:lang w:eastAsia="en-US"/>
              </w:rPr>
            </w:pPr>
          </w:p>
        </w:tc>
        <w:tc>
          <w:tcPr>
            <w:tcW w:w="5244" w:type="dxa"/>
            <w:vAlign w:val="center"/>
          </w:tcPr>
          <w:p w:rsidR="00AE221A" w:rsidRPr="00871C1A" w:rsidRDefault="00AE221A" w:rsidP="00883B4E">
            <w:pPr>
              <w:rPr>
                <w:rFonts w:cs="Arial"/>
                <w:snapToGrid w:val="0"/>
                <w:szCs w:val="24"/>
                <w:lang w:eastAsia="en-US"/>
              </w:rPr>
            </w:pPr>
            <w:r w:rsidRPr="00871C1A">
              <w:rPr>
                <w:rFonts w:cs="Arial"/>
                <w:snapToGrid w:val="0"/>
                <w:szCs w:val="24"/>
                <w:lang w:eastAsia="en-US"/>
              </w:rPr>
              <w:t>Stukeley Road Retail Park, Huntingdon</w:t>
            </w:r>
          </w:p>
        </w:tc>
        <w:tc>
          <w:tcPr>
            <w:tcW w:w="2835" w:type="dxa"/>
            <w:vAlign w:val="center"/>
          </w:tcPr>
          <w:p w:rsidR="00AE221A" w:rsidRPr="00871C1A" w:rsidRDefault="00AE221A" w:rsidP="00883B4E">
            <w:pPr>
              <w:rPr>
                <w:rFonts w:cs="Arial"/>
                <w:snapToGrid w:val="0"/>
                <w:szCs w:val="24"/>
                <w:lang w:eastAsia="en-US"/>
              </w:rPr>
            </w:pPr>
            <w:r w:rsidRPr="00871C1A">
              <w:rPr>
                <w:rFonts w:cs="Arial"/>
                <w:snapToGrid w:val="0"/>
                <w:szCs w:val="24"/>
                <w:lang w:eastAsia="en-US"/>
              </w:rPr>
              <w:t>Retail Warehouse</w:t>
            </w:r>
          </w:p>
        </w:tc>
        <w:tc>
          <w:tcPr>
            <w:tcW w:w="1701" w:type="dxa"/>
            <w:vAlign w:val="center"/>
          </w:tcPr>
          <w:p w:rsidR="00AE221A" w:rsidRPr="00871C1A" w:rsidRDefault="00AE221A" w:rsidP="00883B4E">
            <w:pPr>
              <w:jc w:val="right"/>
              <w:rPr>
                <w:rFonts w:cs="Arial"/>
                <w:snapToGrid w:val="0"/>
                <w:szCs w:val="24"/>
                <w:lang w:eastAsia="en-US"/>
              </w:rPr>
            </w:pPr>
            <w:r w:rsidRPr="00871C1A">
              <w:rPr>
                <w:rFonts w:cs="Arial"/>
                <w:snapToGrid w:val="0"/>
                <w:szCs w:val="24"/>
                <w:lang w:eastAsia="en-US"/>
              </w:rPr>
              <w:t>14.7</w:t>
            </w:r>
          </w:p>
        </w:tc>
      </w:tr>
      <w:tr w:rsidR="00AE221A" w:rsidRPr="009234A6" w:rsidTr="00883B4E">
        <w:trPr>
          <w:trHeight w:val="397"/>
        </w:trPr>
        <w:tc>
          <w:tcPr>
            <w:tcW w:w="534" w:type="dxa"/>
          </w:tcPr>
          <w:p w:rsidR="00AE221A" w:rsidRPr="009234A6" w:rsidRDefault="00AE221A" w:rsidP="00883B4E">
            <w:pPr>
              <w:rPr>
                <w:sz w:val="22"/>
                <w:szCs w:val="22"/>
              </w:rPr>
            </w:pPr>
          </w:p>
        </w:tc>
        <w:tc>
          <w:tcPr>
            <w:tcW w:w="5244" w:type="dxa"/>
            <w:vAlign w:val="center"/>
          </w:tcPr>
          <w:p w:rsidR="00AE221A" w:rsidRPr="00871C1A" w:rsidRDefault="00AE221A" w:rsidP="00883B4E">
            <w:pPr>
              <w:rPr>
                <w:rFonts w:cs="Arial"/>
                <w:b/>
                <w:szCs w:val="24"/>
              </w:rPr>
            </w:pPr>
          </w:p>
        </w:tc>
        <w:tc>
          <w:tcPr>
            <w:tcW w:w="2835" w:type="dxa"/>
            <w:vAlign w:val="center"/>
          </w:tcPr>
          <w:p w:rsidR="00AE221A" w:rsidRPr="00871C1A" w:rsidRDefault="00AE221A" w:rsidP="00883B4E">
            <w:pPr>
              <w:rPr>
                <w:rFonts w:cs="Arial"/>
                <w:b/>
                <w:szCs w:val="24"/>
              </w:rPr>
            </w:pPr>
          </w:p>
        </w:tc>
        <w:tc>
          <w:tcPr>
            <w:tcW w:w="1701" w:type="dxa"/>
            <w:tcBorders>
              <w:top w:val="single" w:sz="4" w:space="0" w:color="auto"/>
              <w:bottom w:val="single" w:sz="4" w:space="0" w:color="auto"/>
            </w:tcBorders>
            <w:vAlign w:val="center"/>
          </w:tcPr>
          <w:p w:rsidR="00AE221A" w:rsidRPr="00871C1A" w:rsidRDefault="00AE221A" w:rsidP="00883B4E">
            <w:pPr>
              <w:jc w:val="right"/>
              <w:rPr>
                <w:rFonts w:cs="Arial"/>
                <w:b/>
                <w:szCs w:val="24"/>
              </w:rPr>
            </w:pPr>
            <w:r w:rsidRPr="00871C1A">
              <w:rPr>
                <w:rFonts w:cs="Arial"/>
                <w:b/>
                <w:szCs w:val="24"/>
              </w:rPr>
              <w:t>190.5</w:t>
            </w:r>
          </w:p>
        </w:tc>
      </w:tr>
    </w:tbl>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p>
    <w:p w:rsidR="00AE221A" w:rsidRPr="00496AED" w:rsidRDefault="00AE221A" w:rsidP="00AE221A">
      <w:pPr>
        <w:spacing w:line="276" w:lineRule="auto"/>
        <w:rPr>
          <w:rFonts w:ascii="ArialMT" w:hAnsi="ArialMT" w:cs="ArialMT"/>
          <w:b/>
          <w:noProof/>
          <w:szCs w:val="24"/>
        </w:rPr>
      </w:pPr>
      <w:r>
        <w:rPr>
          <w:rFonts w:ascii="ArialMT" w:hAnsi="ArialMT" w:cs="ArialMT"/>
          <w:b/>
          <w:noProof/>
          <w:szCs w:val="24"/>
        </w:rPr>
        <w:t>C</w:t>
      </w:r>
      <w:r w:rsidR="00A816DF">
        <w:rPr>
          <w:rFonts w:ascii="ArialMT" w:hAnsi="ArialMT" w:cs="ArialMT"/>
          <w:b/>
          <w:noProof/>
          <w:szCs w:val="24"/>
        </w:rPr>
        <w:t>redit Strategies</w:t>
      </w:r>
    </w:p>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Pr>
          <w:rFonts w:ascii="ArialMT" w:hAnsi="ArialMT" w:cs="ArialMT"/>
          <w:noProof/>
          <w:szCs w:val="24"/>
        </w:rPr>
        <w:t>The implementation of the credit strateg</w:t>
      </w:r>
      <w:r w:rsidR="00871C1A">
        <w:rPr>
          <w:rFonts w:ascii="ArialMT" w:hAnsi="ArialMT" w:cs="ArialMT"/>
          <w:noProof/>
          <w:szCs w:val="24"/>
        </w:rPr>
        <w:t>y i</w:t>
      </w:r>
      <w:r>
        <w:rPr>
          <w:rFonts w:ascii="ArialMT" w:hAnsi="ArialMT" w:cs="ArialMT"/>
          <w:noProof/>
          <w:szCs w:val="24"/>
        </w:rPr>
        <w:t xml:space="preserve">s ongoing and therefore a number of investments have not yet been held for a meaningful period.  However, the initial investments in </w:t>
      </w:r>
      <w:r w:rsidR="00883B4E">
        <w:rPr>
          <w:rFonts w:ascii="ArialMT" w:hAnsi="ArialMT" w:cs="ArialMT"/>
          <w:noProof/>
          <w:szCs w:val="24"/>
        </w:rPr>
        <w:t>e</w:t>
      </w:r>
      <w:r>
        <w:rPr>
          <w:rFonts w:ascii="ArialMT" w:hAnsi="ArialMT" w:cs="ArialMT"/>
          <w:noProof/>
          <w:szCs w:val="24"/>
        </w:rPr>
        <w:t xml:space="preserve">merging </w:t>
      </w:r>
      <w:r w:rsidR="00883B4E">
        <w:rPr>
          <w:rFonts w:ascii="ArialMT" w:hAnsi="ArialMT" w:cs="ArialMT"/>
          <w:noProof/>
          <w:szCs w:val="24"/>
        </w:rPr>
        <w:t>m</w:t>
      </w:r>
      <w:r>
        <w:rPr>
          <w:rFonts w:ascii="ArialMT" w:hAnsi="ArialMT" w:cs="ArialMT"/>
          <w:noProof/>
          <w:szCs w:val="24"/>
        </w:rPr>
        <w:t xml:space="preserve">arkets sovereign debt and </w:t>
      </w:r>
      <w:r w:rsidR="00883B4E">
        <w:rPr>
          <w:rFonts w:ascii="ArialMT" w:hAnsi="ArialMT" w:cs="ArialMT"/>
          <w:noProof/>
          <w:szCs w:val="24"/>
        </w:rPr>
        <w:t>n</w:t>
      </w:r>
      <w:r>
        <w:rPr>
          <w:rFonts w:ascii="ArialMT" w:hAnsi="ArialMT" w:cs="ArialMT"/>
          <w:noProof/>
          <w:szCs w:val="24"/>
        </w:rPr>
        <w:t>on-</w:t>
      </w:r>
      <w:r w:rsidR="00883B4E">
        <w:rPr>
          <w:rFonts w:ascii="ArialMT" w:hAnsi="ArialMT" w:cs="ArialMT"/>
          <w:noProof/>
          <w:szCs w:val="24"/>
        </w:rPr>
        <w:t>i</w:t>
      </w:r>
      <w:r>
        <w:rPr>
          <w:rFonts w:ascii="ArialMT" w:hAnsi="ArialMT" w:cs="ArialMT"/>
          <w:noProof/>
          <w:szCs w:val="24"/>
        </w:rPr>
        <w:t>nvestment grade secured lending have been in place for over twelve months.</w:t>
      </w:r>
    </w:p>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Pr>
          <w:rFonts w:ascii="ArialMT" w:hAnsi="ArialMT" w:cs="ArialMT"/>
          <w:noProof/>
          <w:szCs w:val="24"/>
        </w:rPr>
        <w:t xml:space="preserve">Emerging </w:t>
      </w:r>
      <w:r w:rsidR="00413BBA">
        <w:rPr>
          <w:rFonts w:ascii="ArialMT" w:hAnsi="ArialMT" w:cs="ArialMT"/>
          <w:noProof/>
          <w:szCs w:val="24"/>
        </w:rPr>
        <w:t>m</w:t>
      </w:r>
      <w:r>
        <w:rPr>
          <w:rFonts w:ascii="ArialMT" w:hAnsi="ArialMT" w:cs="ArialMT"/>
          <w:noProof/>
          <w:szCs w:val="24"/>
        </w:rPr>
        <w:t xml:space="preserve">arkets sovereign debt returns suffered from a number of different effects, notably the crisis in Ukraine and the strength of </w:t>
      </w:r>
      <w:r w:rsidR="00413BBA">
        <w:rPr>
          <w:rFonts w:ascii="ArialMT" w:hAnsi="ArialMT" w:cs="ArialMT"/>
          <w:noProof/>
          <w:szCs w:val="24"/>
        </w:rPr>
        <w:t>s</w:t>
      </w:r>
      <w:r>
        <w:rPr>
          <w:rFonts w:ascii="ArialMT" w:hAnsi="ArialMT" w:cs="ArialMT"/>
          <w:noProof/>
          <w:szCs w:val="24"/>
        </w:rPr>
        <w:t>terling as mentioned above.  The investments that have been held for twelve months in this asset class recorded a loss of 13.7% during the year.  This category of investment is considered likely to benefit from long-term global economic growth and strengthening of the currencies of emerging economies, even if there is some short term volatility in valuations. I</w:t>
      </w:r>
      <w:r w:rsidR="00413BBA">
        <w:rPr>
          <w:rFonts w:ascii="ArialMT" w:hAnsi="ArialMT" w:cs="ArialMT"/>
          <w:noProof/>
          <w:szCs w:val="24"/>
        </w:rPr>
        <w:t>n</w:t>
      </w:r>
      <w:r>
        <w:rPr>
          <w:rFonts w:ascii="ArialMT" w:hAnsi="ArialMT" w:cs="ArialMT"/>
          <w:noProof/>
          <w:szCs w:val="24"/>
        </w:rPr>
        <w:t xml:space="preserve"> addition, the asset class provides useful diversification from other more mainstream credit investments.  The Fund added further investments to this credit category during the year. </w:t>
      </w:r>
    </w:p>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Pr>
          <w:rFonts w:ascii="ArialMT" w:hAnsi="ArialMT" w:cs="ArialMT"/>
          <w:noProof/>
          <w:szCs w:val="24"/>
        </w:rPr>
        <w:t xml:space="preserve">Investments in non-investment grade secured debt that were in the portfolio for the full twelve month period were all denominated in US Dollars and recorded a return of 4.5% during the period.  When translated into </w:t>
      </w:r>
      <w:r w:rsidR="00413BBA">
        <w:rPr>
          <w:rFonts w:ascii="ArialMT" w:hAnsi="ArialMT" w:cs="ArialMT"/>
          <w:noProof/>
          <w:szCs w:val="24"/>
        </w:rPr>
        <w:t>s</w:t>
      </w:r>
      <w:r>
        <w:rPr>
          <w:rFonts w:ascii="ArialMT" w:hAnsi="ArialMT" w:cs="ArialMT"/>
          <w:noProof/>
          <w:szCs w:val="24"/>
        </w:rPr>
        <w:t xml:space="preserve">terling, however, this corresponds to a loss of 4.7%.  These investments deliver regular cash flows that are reinvested and the investment team believes that </w:t>
      </w:r>
      <w:r>
        <w:rPr>
          <w:rFonts w:ascii="ArialMT" w:hAnsi="ArialMT" w:cs="ArialMT"/>
          <w:noProof/>
          <w:szCs w:val="24"/>
        </w:rPr>
        <w:lastRenderedPageBreak/>
        <w:t>they provide an excellent risk/reward profile when compared to traded non-investment grade bonds.  Once again, the fund added further investments to this credit category during the year.</w:t>
      </w:r>
    </w:p>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Pr>
          <w:rFonts w:ascii="ArialMT" w:hAnsi="ArialMT" w:cs="ArialMT"/>
          <w:noProof/>
          <w:szCs w:val="24"/>
        </w:rPr>
        <w:t>Investments in cyclical credit opportunities were built up during the year.  These investments seek to take advantage of specific opportunities where 'technical' factors mean that assets can be acquired at a discount to their long-term economic value.  This might include assets that changes in regulation are forcing banks to sell at a discount; bonds that have been downgraded, forcing certain investors to sell; or asset types that are out of favour in the markets or where liquidity have significantly reduced, such as securitisations. Generating returns in this credit category requires manager skill in terms of identifying investment opportunities and in managing investments to achieve maximum value.  The investments may be illiquid, having to be held to maturity in order to realise gains. They provide a diversification benefit and the expectation of excess returns over the medium term.</w:t>
      </w:r>
    </w:p>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Pr>
          <w:rFonts w:ascii="ArialMT" w:hAnsi="ArialMT" w:cs="ArialMT"/>
          <w:noProof/>
          <w:szCs w:val="24"/>
        </w:rPr>
        <w:t>The final credit strategy to which commitments were made, although no funds are yet invested, is debt secured on real assets.  These investments are typically long dated in nature and provide a very low risk profile, being secured, typically, on real estate.  If properly underwritten and managed, there is a very low expectation of loss.  Whilst generating lower expectations of return, these investments should provide a very good match for the long term needs of the fund to generate income and protect the value of the portfolio.</w:t>
      </w:r>
    </w:p>
    <w:p w:rsidR="00AE221A" w:rsidRDefault="00AE221A" w:rsidP="00AE221A">
      <w:pPr>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Pr>
          <w:rFonts w:ascii="ArialMT" w:hAnsi="ArialMT" w:cs="ArialMT"/>
          <w:noProof/>
          <w:szCs w:val="24"/>
        </w:rPr>
        <w:t xml:space="preserve">At the end of the period, Investments in </w:t>
      </w:r>
      <w:r w:rsidR="00D30A0F">
        <w:rPr>
          <w:rFonts w:ascii="ArialMT" w:hAnsi="ArialMT" w:cs="ArialMT"/>
          <w:noProof/>
          <w:szCs w:val="24"/>
        </w:rPr>
        <w:t>e</w:t>
      </w:r>
      <w:r>
        <w:rPr>
          <w:rFonts w:ascii="ArialMT" w:hAnsi="ArialMT" w:cs="ArialMT"/>
          <w:noProof/>
          <w:szCs w:val="24"/>
        </w:rPr>
        <w:t xml:space="preserve">merging </w:t>
      </w:r>
      <w:r w:rsidR="00D30A0F">
        <w:rPr>
          <w:rFonts w:ascii="ArialMT" w:hAnsi="ArialMT" w:cs="ArialMT"/>
          <w:noProof/>
          <w:szCs w:val="24"/>
        </w:rPr>
        <w:t>m</w:t>
      </w:r>
      <w:r>
        <w:rPr>
          <w:rFonts w:ascii="ArialMT" w:hAnsi="ArialMT" w:cs="ArialMT"/>
          <w:noProof/>
          <w:szCs w:val="24"/>
        </w:rPr>
        <w:t>arket debt amounted to £310.7m (</w:t>
      </w:r>
      <w:r w:rsidR="00C461D2">
        <w:rPr>
          <w:rFonts w:ascii="ArialMT" w:hAnsi="ArialMT" w:cs="ArialMT"/>
          <w:noProof/>
          <w:szCs w:val="24"/>
        </w:rPr>
        <w:t>6.0</w:t>
      </w:r>
      <w:r>
        <w:rPr>
          <w:rFonts w:ascii="ArialMT" w:hAnsi="ArialMT" w:cs="ArialMT"/>
          <w:noProof/>
          <w:szCs w:val="24"/>
        </w:rPr>
        <w:t xml:space="preserve">% of the Fund), £280.2m was invested in non-investment grade secured lending and £179.6m in cyclical credit opportunities.  Target levels of investment are approximately £360m in each category. </w:t>
      </w:r>
    </w:p>
    <w:p w:rsidR="00AE221A" w:rsidRPr="009234A6" w:rsidRDefault="00AE221A" w:rsidP="00AE221A">
      <w:pPr>
        <w:autoSpaceDE w:val="0"/>
        <w:autoSpaceDN w:val="0"/>
        <w:adjustRightInd w:val="0"/>
        <w:rPr>
          <w:rFonts w:ascii="Arial-BoldMT" w:hAnsi="Arial-BoldMT" w:cs="Arial-BoldMT"/>
          <w:b/>
          <w:bCs/>
        </w:rPr>
      </w:pPr>
      <w:r w:rsidRPr="009234A6">
        <w:rPr>
          <w:noProof/>
        </w:rPr>
        <w:t xml:space="preserve"> </w:t>
      </w:r>
      <w:r w:rsidRPr="009234A6">
        <w:rPr>
          <w:rFonts w:ascii="ArialMT" w:hAnsi="ArialMT" w:cs="ArialMT"/>
          <w:noProof/>
          <w:szCs w:val="24"/>
        </w:rPr>
        <mc:AlternateContent>
          <mc:Choice Requires="wps">
            <w:drawing>
              <wp:anchor distT="0" distB="0" distL="114300" distR="114300" simplePos="0" relativeHeight="251662336" behindDoc="0" locked="0" layoutInCell="1" allowOverlap="1" wp14:anchorId="575B3557" wp14:editId="611A2F8D">
                <wp:simplePos x="0" y="0"/>
                <wp:positionH relativeFrom="column">
                  <wp:posOffset>4471035</wp:posOffset>
                </wp:positionH>
                <wp:positionV relativeFrom="paragraph">
                  <wp:posOffset>371475</wp:posOffset>
                </wp:positionV>
                <wp:extent cx="45085" cy="4508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191" w:rsidRPr="0003312C" w:rsidRDefault="00480191" w:rsidP="00AE221A">
                            <w:pPr>
                              <w:rPr>
                                <w:b/>
                                <w:sz w:val="20"/>
                              </w:rPr>
                            </w:pPr>
                            <w:r w:rsidRPr="0003312C">
                              <w:rPr>
                                <w:b/>
                                <w:sz w:val="20"/>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3557" id="Text Box 17" o:spid="_x0000_s1027" type="#_x0000_t202" style="position:absolute;margin-left:352.05pt;margin-top:29.25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" stroked="f">
                <v:textbox>
                  <w:txbxContent>
                    <w:p w:rsidR="00480191" w:rsidRPr="0003312C" w:rsidRDefault="00480191" w:rsidP="00AE221A">
                      <w:pPr>
                        <w:rPr>
                          <w:b/>
                          <w:sz w:val="20"/>
                        </w:rPr>
                      </w:pPr>
                      <w:r w:rsidRPr="0003312C">
                        <w:rPr>
                          <w:b/>
                          <w:sz w:val="20"/>
                        </w:rPr>
                        <w:t>n/a</w:t>
                      </w:r>
                    </w:p>
                  </w:txbxContent>
                </v:textbox>
              </v:shape>
            </w:pict>
          </mc:Fallback>
        </mc:AlternateContent>
      </w:r>
    </w:p>
    <w:p w:rsidR="00AE221A" w:rsidRPr="009234A6" w:rsidRDefault="00AE221A" w:rsidP="00AE221A">
      <w:pPr>
        <w:autoSpaceDE w:val="0"/>
        <w:autoSpaceDN w:val="0"/>
        <w:adjustRightInd w:val="0"/>
        <w:rPr>
          <w:rFonts w:ascii="Arial-BoldMT" w:hAnsi="Arial-BoldMT" w:cs="Arial-BoldMT"/>
          <w:b/>
          <w:bCs/>
        </w:rPr>
      </w:pPr>
      <w:r w:rsidRPr="009234A6">
        <w:rPr>
          <w:rFonts w:ascii="Arial-BoldMT" w:hAnsi="Arial-BoldMT" w:cs="Arial-BoldMT"/>
          <w:b/>
          <w:bCs/>
        </w:rPr>
        <w:t>Asset allocations</w:t>
      </w:r>
    </w:p>
    <w:p w:rsidR="00AE221A" w:rsidRPr="009234A6" w:rsidRDefault="00AE221A" w:rsidP="00AE221A">
      <w:pPr>
        <w:autoSpaceDE w:val="0"/>
        <w:autoSpaceDN w:val="0"/>
        <w:adjustRightInd w:val="0"/>
        <w:rPr>
          <w:rFonts w:ascii="ArialMT" w:hAnsi="ArialMT" w:cs="ArialMT"/>
          <w:noProof/>
          <w:szCs w:val="24"/>
        </w:rPr>
      </w:pPr>
    </w:p>
    <w:p w:rsidR="00AE221A" w:rsidRDefault="00AE221A" w:rsidP="00AE221A">
      <w:pPr>
        <w:autoSpaceDE w:val="0"/>
        <w:autoSpaceDN w:val="0"/>
        <w:adjustRightInd w:val="0"/>
        <w:spacing w:line="276" w:lineRule="auto"/>
        <w:rPr>
          <w:rFonts w:ascii="ArialMT" w:hAnsi="ArialMT" w:cs="ArialMT"/>
          <w:noProof/>
          <w:szCs w:val="24"/>
        </w:rPr>
      </w:pPr>
      <w:r w:rsidRPr="009234A6">
        <w:rPr>
          <w:rFonts w:ascii="ArialMT" w:hAnsi="ArialMT" w:cs="ArialMT"/>
          <w:noProof/>
          <w:szCs w:val="24"/>
        </w:rPr>
        <w:t xml:space="preserve">The Fund is continuing to implement its revised investment strategy agreed in 2010, in actively </w:t>
      </w:r>
      <w:r>
        <w:rPr>
          <w:rFonts w:ascii="ArialMT" w:hAnsi="ArialMT" w:cs="ArialMT"/>
          <w:noProof/>
          <w:szCs w:val="24"/>
        </w:rPr>
        <w:t>managing</w:t>
      </w:r>
      <w:r w:rsidRPr="009234A6">
        <w:rPr>
          <w:rFonts w:ascii="ArialMT" w:hAnsi="ArialMT" w:cs="ArialMT"/>
          <w:noProof/>
          <w:szCs w:val="24"/>
        </w:rPr>
        <w:t xml:space="preserve"> asset allocations to</w:t>
      </w:r>
      <w:r>
        <w:rPr>
          <w:rFonts w:ascii="ArialMT" w:hAnsi="ArialMT" w:cs="ArialMT"/>
          <w:noProof/>
          <w:szCs w:val="24"/>
        </w:rPr>
        <w:t>ward</w:t>
      </w:r>
      <w:r w:rsidRPr="009234A6">
        <w:rPr>
          <w:rFonts w:ascii="ArialMT" w:hAnsi="ArialMT" w:cs="ArialMT"/>
          <w:noProof/>
          <w:szCs w:val="24"/>
        </w:rPr>
        <w:t xml:space="preserve"> the agreed </w:t>
      </w:r>
      <w:r>
        <w:rPr>
          <w:rFonts w:ascii="ArialMT" w:hAnsi="ArialMT" w:cs="ArialMT"/>
          <w:noProof/>
          <w:szCs w:val="24"/>
        </w:rPr>
        <w:t>proportions.  The investment strategy focusses on</w:t>
      </w:r>
      <w:r w:rsidRPr="009234A6">
        <w:rPr>
          <w:rFonts w:ascii="ArialMT" w:hAnsi="ArialMT" w:cs="ArialMT"/>
          <w:noProof/>
          <w:szCs w:val="24"/>
        </w:rPr>
        <w:t xml:space="preserve"> </w:t>
      </w:r>
      <w:r>
        <w:rPr>
          <w:rFonts w:ascii="ArialMT" w:hAnsi="ArialMT" w:cs="ArialMT"/>
          <w:noProof/>
          <w:szCs w:val="24"/>
        </w:rPr>
        <w:t>reducing reliance on</w:t>
      </w:r>
      <w:r w:rsidRPr="009234A6">
        <w:rPr>
          <w:rFonts w:ascii="ArialMT" w:hAnsi="ArialMT" w:cs="ArialMT"/>
          <w:noProof/>
          <w:szCs w:val="24"/>
        </w:rPr>
        <w:t xml:space="preserve"> assets such as </w:t>
      </w:r>
      <w:r>
        <w:rPr>
          <w:rFonts w:ascii="ArialMT" w:hAnsi="ArialMT" w:cs="ArialMT"/>
          <w:noProof/>
          <w:szCs w:val="24"/>
        </w:rPr>
        <w:t xml:space="preserve">listed </w:t>
      </w:r>
      <w:r w:rsidRPr="009234A6">
        <w:rPr>
          <w:rFonts w:ascii="ArialMT" w:hAnsi="ArialMT" w:cs="ArialMT"/>
          <w:noProof/>
          <w:szCs w:val="24"/>
        </w:rPr>
        <w:t>equities, in favour of asset classes such as infrastructure</w:t>
      </w:r>
      <w:r>
        <w:rPr>
          <w:rFonts w:ascii="ArialMT" w:hAnsi="ArialMT" w:cs="ArialMT"/>
          <w:noProof/>
          <w:szCs w:val="24"/>
        </w:rPr>
        <w:t xml:space="preserve"> and</w:t>
      </w:r>
      <w:r w:rsidRPr="009234A6">
        <w:rPr>
          <w:rFonts w:ascii="ArialMT" w:hAnsi="ArialMT" w:cs="ArialMT"/>
          <w:noProof/>
          <w:szCs w:val="24"/>
        </w:rPr>
        <w:t xml:space="preserve"> </w:t>
      </w:r>
      <w:r>
        <w:rPr>
          <w:rFonts w:ascii="ArialMT" w:hAnsi="ArialMT" w:cs="ArialMT"/>
          <w:noProof/>
          <w:szCs w:val="24"/>
        </w:rPr>
        <w:t>floating rate credit</w:t>
      </w:r>
      <w:r w:rsidRPr="009234A6">
        <w:rPr>
          <w:rFonts w:ascii="ArialMT" w:hAnsi="ArialMT" w:cs="ArialMT"/>
          <w:noProof/>
          <w:szCs w:val="24"/>
        </w:rPr>
        <w:t>, and</w:t>
      </w:r>
      <w:r>
        <w:rPr>
          <w:rFonts w:ascii="ArialMT" w:hAnsi="ArialMT" w:cs="ArialMT"/>
          <w:noProof/>
          <w:szCs w:val="24"/>
        </w:rPr>
        <w:t xml:space="preserve"> to deliver increased diversification, for example through increased allocations to real estate and other alternative asset types.</w:t>
      </w:r>
    </w:p>
    <w:p w:rsidR="00AE221A" w:rsidRDefault="00AE221A" w:rsidP="00AE221A">
      <w:pPr>
        <w:autoSpaceDE w:val="0"/>
        <w:autoSpaceDN w:val="0"/>
        <w:adjustRightInd w:val="0"/>
        <w:spacing w:line="276" w:lineRule="auto"/>
        <w:rPr>
          <w:rFonts w:ascii="ArialMT" w:hAnsi="ArialMT" w:cs="ArialMT"/>
          <w:noProof/>
          <w:szCs w:val="24"/>
        </w:rPr>
      </w:pPr>
    </w:p>
    <w:p w:rsidR="00AE221A" w:rsidRDefault="00AE221A" w:rsidP="00AE221A">
      <w:pPr>
        <w:spacing w:line="276" w:lineRule="auto"/>
        <w:rPr>
          <w:rFonts w:ascii="ArialMT" w:hAnsi="ArialMT" w:cs="ArialMT"/>
          <w:noProof/>
          <w:szCs w:val="24"/>
        </w:rPr>
      </w:pPr>
      <w:r w:rsidRPr="009234A6">
        <w:rPr>
          <w:rFonts w:ascii="ArialMT" w:hAnsi="ArialMT" w:cs="ArialMT"/>
          <w:noProof/>
          <w:szCs w:val="24"/>
        </w:rPr>
        <w:t>Th</w:t>
      </w:r>
      <w:r>
        <w:rPr>
          <w:rFonts w:ascii="ArialMT" w:hAnsi="ArialMT" w:cs="ArialMT"/>
          <w:noProof/>
          <w:szCs w:val="24"/>
        </w:rPr>
        <w:t>is</w:t>
      </w:r>
      <w:r w:rsidRPr="009234A6">
        <w:rPr>
          <w:rFonts w:ascii="ArialMT" w:hAnsi="ArialMT" w:cs="ArialMT"/>
          <w:noProof/>
          <w:szCs w:val="24"/>
        </w:rPr>
        <w:t xml:space="preserve"> move towards </w:t>
      </w:r>
      <w:r>
        <w:rPr>
          <w:rFonts w:ascii="ArialMT" w:hAnsi="ArialMT" w:cs="ArialMT"/>
          <w:noProof/>
          <w:szCs w:val="24"/>
        </w:rPr>
        <w:t>a diverse range of</w:t>
      </w:r>
      <w:r w:rsidRPr="009234A6">
        <w:rPr>
          <w:rFonts w:ascii="ArialMT" w:hAnsi="ArialMT" w:cs="ArialMT"/>
          <w:noProof/>
          <w:szCs w:val="24"/>
        </w:rPr>
        <w:t xml:space="preserve"> asset classes has resulted in equit</w:t>
      </w:r>
      <w:r>
        <w:rPr>
          <w:rFonts w:ascii="ArialMT" w:hAnsi="ArialMT" w:cs="ArialMT"/>
          <w:noProof/>
          <w:szCs w:val="24"/>
        </w:rPr>
        <w:t>y</w:t>
      </w:r>
      <w:r w:rsidRPr="009234A6">
        <w:rPr>
          <w:rFonts w:ascii="ArialMT" w:hAnsi="ArialMT" w:cs="ArialMT"/>
          <w:noProof/>
          <w:szCs w:val="24"/>
        </w:rPr>
        <w:t xml:space="preserve"> accounting for 5</w:t>
      </w:r>
      <w:r>
        <w:rPr>
          <w:rFonts w:ascii="ArialMT" w:hAnsi="ArialMT" w:cs="ArialMT"/>
          <w:noProof/>
          <w:szCs w:val="24"/>
        </w:rPr>
        <w:t>0</w:t>
      </w:r>
      <w:r w:rsidRPr="009234A6">
        <w:rPr>
          <w:rFonts w:ascii="ArialMT" w:hAnsi="ArialMT" w:cs="ArialMT"/>
          <w:noProof/>
          <w:szCs w:val="24"/>
        </w:rPr>
        <w:t>% of the Fund at 31 March 201</w:t>
      </w:r>
      <w:r>
        <w:rPr>
          <w:rFonts w:ascii="ArialMT" w:hAnsi="ArialMT" w:cs="ArialMT"/>
          <w:noProof/>
          <w:szCs w:val="24"/>
        </w:rPr>
        <w:t>4</w:t>
      </w:r>
      <w:r w:rsidRPr="009234A6">
        <w:rPr>
          <w:rFonts w:ascii="ArialMT" w:hAnsi="ArialMT" w:cs="ArialMT"/>
          <w:noProof/>
          <w:szCs w:val="24"/>
        </w:rPr>
        <w:t xml:space="preserve">, compared with 77% </w:t>
      </w:r>
      <w:r>
        <w:rPr>
          <w:rFonts w:ascii="ArialMT" w:hAnsi="ArialMT" w:cs="ArialMT"/>
          <w:noProof/>
          <w:szCs w:val="24"/>
        </w:rPr>
        <w:t>four</w:t>
      </w:r>
      <w:r w:rsidRPr="009234A6">
        <w:rPr>
          <w:rFonts w:ascii="ArialMT" w:hAnsi="ArialMT" w:cs="ArialMT"/>
          <w:noProof/>
          <w:szCs w:val="24"/>
        </w:rPr>
        <w:t xml:space="preserve"> years ago. In the same period, </w:t>
      </w:r>
      <w:r>
        <w:rPr>
          <w:rFonts w:ascii="ArialMT" w:hAnsi="ArialMT" w:cs="ArialMT"/>
          <w:noProof/>
          <w:szCs w:val="24"/>
        </w:rPr>
        <w:t>infrastructure and credit investments</w:t>
      </w:r>
      <w:r w:rsidRPr="009234A6">
        <w:rPr>
          <w:rFonts w:ascii="ArialMT" w:hAnsi="ArialMT" w:cs="ArialMT"/>
          <w:noProof/>
          <w:szCs w:val="24"/>
        </w:rPr>
        <w:t xml:space="preserve"> have increased from 16% to 33%. </w:t>
      </w:r>
    </w:p>
    <w:p w:rsidR="00AE221A" w:rsidRDefault="00AE221A" w:rsidP="00AE221A">
      <w:pPr>
        <w:spacing w:line="276" w:lineRule="auto"/>
        <w:rPr>
          <w:rFonts w:ascii="ArialMT" w:hAnsi="ArialMT" w:cs="ArialMT"/>
          <w:noProof/>
          <w:szCs w:val="24"/>
        </w:rPr>
      </w:pPr>
    </w:p>
    <w:p w:rsidR="00AE221A" w:rsidRDefault="00AE221A">
      <w:pPr>
        <w:ind w:left="360"/>
        <w:rPr>
          <w:b/>
          <w:sz w:val="28"/>
          <w:szCs w:val="28"/>
        </w:rPr>
      </w:pPr>
    </w:p>
    <w:p w:rsidR="00323E71" w:rsidRDefault="00323E71" w:rsidP="00FC5983">
      <w:pPr>
        <w:spacing w:line="276" w:lineRule="auto"/>
        <w:rPr>
          <w:rFonts w:ascii="ArialMT" w:hAnsi="ArialMT" w:cs="ArialMT"/>
          <w:noProof/>
          <w:szCs w:val="24"/>
        </w:rPr>
      </w:pPr>
      <w:r>
        <w:rPr>
          <w:rFonts w:ascii="ArialMT" w:hAnsi="ArialMT" w:cs="ArialMT"/>
          <w:noProof/>
          <w:szCs w:val="24"/>
        </w:rPr>
        <w:lastRenderedPageBreak/>
        <w:drawing>
          <wp:inline distT="0" distB="0" distL="0" distR="0" wp14:anchorId="655DEB38">
            <wp:extent cx="6257925" cy="4076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7925" cy="4076700"/>
                    </a:xfrm>
                    <a:prstGeom prst="rect">
                      <a:avLst/>
                    </a:prstGeom>
                    <a:noFill/>
                  </pic:spPr>
                </pic:pic>
              </a:graphicData>
            </a:graphic>
          </wp:inline>
        </w:drawing>
      </w:r>
    </w:p>
    <w:p w:rsidR="00FC5983" w:rsidRDefault="00AE221A" w:rsidP="00FC5983">
      <w:pPr>
        <w:spacing w:line="276" w:lineRule="auto"/>
        <w:rPr>
          <w:rFonts w:ascii="ArialMT" w:hAnsi="ArialMT" w:cs="ArialMT"/>
          <w:noProof/>
          <w:szCs w:val="24"/>
        </w:rPr>
      </w:pPr>
      <w:r>
        <w:rPr>
          <w:rFonts w:ascii="ArialMT" w:hAnsi="ArialMT" w:cs="ArialMT"/>
          <w:noProof/>
          <w:szCs w:val="24"/>
        </w:rPr>
        <w:t>At 31 March 2014</w:t>
      </w:r>
      <w:r w:rsidRPr="009234A6">
        <w:rPr>
          <w:rFonts w:ascii="ArialMT" w:hAnsi="ArialMT" w:cs="ArialMT"/>
          <w:noProof/>
          <w:szCs w:val="24"/>
        </w:rPr>
        <w:t>, equiti</w:t>
      </w:r>
      <w:r>
        <w:rPr>
          <w:rFonts w:ascii="ArialMT" w:hAnsi="ArialMT" w:cs="ArialMT"/>
          <w:noProof/>
          <w:szCs w:val="24"/>
        </w:rPr>
        <w:t xml:space="preserve">y holidngs were </w:t>
      </w:r>
      <w:r w:rsidRPr="009234A6">
        <w:rPr>
          <w:rFonts w:ascii="ArialMT" w:hAnsi="ArialMT" w:cs="ArialMT"/>
          <w:noProof/>
          <w:szCs w:val="24"/>
        </w:rPr>
        <w:t xml:space="preserve">towards the </w:t>
      </w:r>
      <w:r>
        <w:rPr>
          <w:rFonts w:ascii="ArialMT" w:hAnsi="ArialMT" w:cs="ArialMT"/>
          <w:noProof/>
          <w:szCs w:val="24"/>
        </w:rPr>
        <w:t>middle</w:t>
      </w:r>
      <w:r w:rsidRPr="009234A6">
        <w:rPr>
          <w:rFonts w:ascii="ArialMT" w:hAnsi="ArialMT" w:cs="ArialMT"/>
          <w:noProof/>
          <w:szCs w:val="24"/>
        </w:rPr>
        <w:t xml:space="preserve"> of their target </w:t>
      </w:r>
      <w:r>
        <w:rPr>
          <w:rFonts w:ascii="ArialMT" w:hAnsi="ArialMT" w:cs="ArialMT"/>
          <w:noProof/>
          <w:szCs w:val="24"/>
        </w:rPr>
        <w:t xml:space="preserve">range </w:t>
      </w:r>
      <w:r w:rsidRPr="009234A6">
        <w:rPr>
          <w:rFonts w:ascii="ArialMT" w:hAnsi="ArialMT" w:cs="ArialMT"/>
          <w:noProof/>
          <w:szCs w:val="24"/>
        </w:rPr>
        <w:t>(40%-60%), property remain</w:t>
      </w:r>
      <w:r>
        <w:rPr>
          <w:rFonts w:ascii="ArialMT" w:hAnsi="ArialMT" w:cs="ArialMT"/>
          <w:noProof/>
          <w:szCs w:val="24"/>
        </w:rPr>
        <w:t>ed</w:t>
      </w:r>
      <w:r w:rsidRPr="009234A6">
        <w:rPr>
          <w:rFonts w:ascii="ArialMT" w:hAnsi="ArialMT" w:cs="ArialMT"/>
          <w:noProof/>
          <w:szCs w:val="24"/>
        </w:rPr>
        <w:t xml:space="preserve"> just below the bottom of its target range (10%-20%), and </w:t>
      </w:r>
      <w:r>
        <w:rPr>
          <w:rFonts w:ascii="ArialMT" w:hAnsi="ArialMT" w:cs="ArialMT"/>
          <w:noProof/>
          <w:szCs w:val="24"/>
        </w:rPr>
        <w:t>credit and infrastructure we</w:t>
      </w:r>
      <w:r w:rsidRPr="009234A6">
        <w:rPr>
          <w:rFonts w:ascii="ArialMT" w:hAnsi="ArialMT" w:cs="ArialMT"/>
          <w:noProof/>
          <w:szCs w:val="24"/>
        </w:rPr>
        <w:t>re mid-range (20%-40%).</w:t>
      </w:r>
      <w:r>
        <w:rPr>
          <w:rFonts w:ascii="ArialMT" w:hAnsi="ArialMT" w:cs="ArialMT"/>
          <w:noProof/>
          <w:szCs w:val="24"/>
        </w:rPr>
        <w:t xml:space="preserve">  The Fund was holding higher levels of cash than</w:t>
      </w:r>
      <w:r w:rsidR="00FC5983">
        <w:rPr>
          <w:rFonts w:ascii="ArialMT" w:hAnsi="ArialMT" w:cs="ArialMT"/>
          <w:noProof/>
          <w:szCs w:val="24"/>
        </w:rPr>
        <w:t xml:space="preserve"> </w:t>
      </w:r>
      <w:r>
        <w:rPr>
          <w:rFonts w:ascii="ArialMT" w:hAnsi="ArialMT" w:cs="ArialMT"/>
          <w:noProof/>
          <w:szCs w:val="24"/>
        </w:rPr>
        <w:t>would be the strategic level, due to the impact of transitioning between different asset classes as explained above.</w:t>
      </w:r>
      <w:r w:rsidR="00FC5983">
        <w:rPr>
          <w:rFonts w:ascii="ArialMT" w:hAnsi="ArialMT" w:cs="ArialMT"/>
          <w:noProof/>
          <w:szCs w:val="24"/>
        </w:rPr>
        <w:t xml:space="preserve">  </w:t>
      </w:r>
    </w:p>
    <w:p w:rsidR="00FC5983" w:rsidRDefault="00FC5983" w:rsidP="00FC5983">
      <w:pPr>
        <w:spacing w:line="276" w:lineRule="auto"/>
        <w:rPr>
          <w:rFonts w:ascii="ArialMT" w:hAnsi="ArialMT" w:cs="ArialMT"/>
          <w:noProof/>
          <w:szCs w:val="24"/>
        </w:rPr>
      </w:pPr>
    </w:p>
    <w:p w:rsidR="00AE221A" w:rsidRDefault="00AE221A" w:rsidP="00FC5983">
      <w:pPr>
        <w:spacing w:line="276" w:lineRule="auto"/>
        <w:rPr>
          <w:rFonts w:ascii="ArialMT" w:hAnsi="ArialMT" w:cs="ArialMT"/>
          <w:noProof/>
          <w:szCs w:val="24"/>
        </w:rPr>
      </w:pPr>
      <w:r w:rsidRPr="009234A6">
        <w:rPr>
          <w:rFonts w:ascii="ArialMT" w:hAnsi="ArialMT" w:cs="ArialMT"/>
          <w:noProof/>
          <w:szCs w:val="24"/>
        </w:rPr>
        <w:t xml:space="preserve">Detailed asset class allocations, and a comparison with the previous year is shown </w:t>
      </w:r>
      <w:r w:rsidR="008A28A2">
        <w:rPr>
          <w:rFonts w:ascii="ArialMT" w:hAnsi="ArialMT" w:cs="ArialMT"/>
          <w:noProof/>
          <w:szCs w:val="24"/>
        </w:rPr>
        <w:t>below:</w:t>
      </w:r>
    </w:p>
    <w:p w:rsidR="00FC5983" w:rsidRDefault="00FC5983" w:rsidP="00AE221A">
      <w:pPr>
        <w:autoSpaceDE w:val="0"/>
        <w:autoSpaceDN w:val="0"/>
        <w:adjustRightInd w:val="0"/>
        <w:rPr>
          <w:rFonts w:ascii="ArialMT" w:hAnsi="ArialMT" w:cs="ArialMT"/>
          <w:noProof/>
          <w:szCs w:val="24"/>
        </w:rPr>
      </w:pPr>
    </w:p>
    <w:p w:rsidR="00323E71" w:rsidRDefault="00323E71" w:rsidP="00AE221A">
      <w:pPr>
        <w:autoSpaceDE w:val="0"/>
        <w:autoSpaceDN w:val="0"/>
        <w:adjustRightInd w:val="0"/>
        <w:rPr>
          <w:rFonts w:ascii="ArialMT" w:hAnsi="ArialMT" w:cs="ArialMT"/>
          <w:noProof/>
          <w:szCs w:val="24"/>
        </w:rPr>
      </w:pPr>
      <w:r>
        <w:rPr>
          <w:rFonts w:ascii="ArialMT" w:hAnsi="ArialMT" w:cs="ArialMT"/>
          <w:noProof/>
          <w:szCs w:val="24"/>
        </w:rPr>
        <w:drawing>
          <wp:inline distT="0" distB="0" distL="0" distR="0" wp14:anchorId="0E86B0AF">
            <wp:extent cx="6309995" cy="33959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995" cy="3395980"/>
                    </a:xfrm>
                    <a:prstGeom prst="rect">
                      <a:avLst/>
                    </a:prstGeom>
                    <a:noFill/>
                  </pic:spPr>
                </pic:pic>
              </a:graphicData>
            </a:graphic>
          </wp:inline>
        </w:drawing>
      </w:r>
    </w:p>
    <w:p w:rsidR="00323E71" w:rsidRDefault="00323E71" w:rsidP="00AE221A">
      <w:pPr>
        <w:autoSpaceDE w:val="0"/>
        <w:autoSpaceDN w:val="0"/>
        <w:adjustRightInd w:val="0"/>
        <w:rPr>
          <w:rFonts w:ascii="ArialMT" w:hAnsi="ArialMT" w:cs="ArialMT"/>
          <w:noProof/>
          <w:szCs w:val="24"/>
        </w:rPr>
      </w:pPr>
    </w:p>
    <w:p w:rsidR="00AE221A" w:rsidRPr="009234A6" w:rsidRDefault="00AE221A" w:rsidP="00AE221A">
      <w:pPr>
        <w:autoSpaceDE w:val="0"/>
        <w:autoSpaceDN w:val="0"/>
        <w:adjustRightInd w:val="0"/>
        <w:rPr>
          <w:rFonts w:ascii="ArialMT" w:hAnsi="ArialMT" w:cs="ArialMT"/>
          <w:noProof/>
          <w:szCs w:val="24"/>
        </w:rPr>
      </w:pPr>
      <w:r>
        <w:rPr>
          <w:rFonts w:ascii="ArialMT" w:hAnsi="ArialMT" w:cs="ArialMT"/>
          <w:noProof/>
          <w:szCs w:val="24"/>
        </w:rPr>
        <w:t xml:space="preserve">As at 31 March 2104, the fund had committed to invest a further £151.4m in </w:t>
      </w:r>
      <w:r w:rsidR="00C461D2">
        <w:rPr>
          <w:rFonts w:ascii="ArialMT" w:hAnsi="ArialMT" w:cs="ArialMT"/>
          <w:noProof/>
          <w:szCs w:val="24"/>
        </w:rPr>
        <w:t>i</w:t>
      </w:r>
      <w:r>
        <w:rPr>
          <w:rFonts w:ascii="ArialMT" w:hAnsi="ArialMT" w:cs="ArialMT"/>
          <w:noProof/>
          <w:szCs w:val="24"/>
        </w:rPr>
        <w:t>nfrastructure investments and £248.7m in various credit strategies, with these commitments expected to be drawn down over the following twelve month period.</w:t>
      </w:r>
    </w:p>
    <w:p w:rsidR="00A816DF" w:rsidRDefault="00AE221A" w:rsidP="00AE221A">
      <w:pPr>
        <w:autoSpaceDE w:val="0"/>
        <w:autoSpaceDN w:val="0"/>
        <w:adjustRightInd w:val="0"/>
        <w:rPr>
          <w:rFonts w:ascii="Arial-BoldMT" w:hAnsi="Arial-BoldMT" w:cs="Arial-BoldMT"/>
          <w:b/>
          <w:bCs/>
          <w:szCs w:val="24"/>
        </w:rPr>
      </w:pPr>
      <w:r>
        <w:rPr>
          <w:rFonts w:ascii="ArialMT" w:hAnsi="ArialMT" w:cs="ArialMT"/>
          <w:szCs w:val="24"/>
        </w:rPr>
        <w:br w:type="textWrapping" w:clear="all"/>
      </w:r>
    </w:p>
    <w:p w:rsidR="00FC5983" w:rsidRDefault="00FC5983" w:rsidP="00AE221A">
      <w:pPr>
        <w:autoSpaceDE w:val="0"/>
        <w:autoSpaceDN w:val="0"/>
        <w:adjustRightInd w:val="0"/>
        <w:rPr>
          <w:rFonts w:ascii="Arial-BoldMT" w:hAnsi="Arial-BoldMT" w:cs="Arial-BoldMT"/>
          <w:b/>
          <w:bCs/>
          <w:szCs w:val="24"/>
        </w:rPr>
      </w:pPr>
    </w:p>
    <w:p w:rsidR="00AE221A" w:rsidRPr="00723A74" w:rsidRDefault="00AE221A" w:rsidP="00AE221A">
      <w:pPr>
        <w:autoSpaceDE w:val="0"/>
        <w:autoSpaceDN w:val="0"/>
        <w:adjustRightInd w:val="0"/>
        <w:rPr>
          <w:rFonts w:cs="Arial"/>
          <w:b/>
          <w:bCs/>
          <w:szCs w:val="24"/>
        </w:rPr>
      </w:pPr>
      <w:r w:rsidRPr="00723A74">
        <w:rPr>
          <w:rFonts w:cs="Arial"/>
          <w:b/>
          <w:bCs/>
          <w:szCs w:val="24"/>
        </w:rPr>
        <w:t>Policies in respect of Socially Responsible Investment and Voting</w:t>
      </w:r>
    </w:p>
    <w:p w:rsidR="00AE221A" w:rsidRPr="00723A74" w:rsidRDefault="00AE221A" w:rsidP="00AE221A">
      <w:pPr>
        <w:autoSpaceDE w:val="0"/>
        <w:autoSpaceDN w:val="0"/>
        <w:adjustRightInd w:val="0"/>
        <w:rPr>
          <w:rFonts w:cs="Arial"/>
          <w:szCs w:val="24"/>
        </w:rPr>
      </w:pPr>
    </w:p>
    <w:p w:rsidR="00AE221A" w:rsidRPr="00723A74" w:rsidRDefault="00AE221A" w:rsidP="00AE221A">
      <w:pPr>
        <w:autoSpaceDE w:val="0"/>
        <w:autoSpaceDN w:val="0"/>
        <w:adjustRightInd w:val="0"/>
        <w:rPr>
          <w:rFonts w:cs="Arial"/>
          <w:b/>
          <w:bCs/>
          <w:szCs w:val="24"/>
        </w:rPr>
      </w:pPr>
      <w:r w:rsidRPr="00723A74">
        <w:rPr>
          <w:rFonts w:cs="Arial"/>
          <w:b/>
          <w:bCs/>
          <w:szCs w:val="24"/>
        </w:rPr>
        <w:t>Social, Environmental and Ethical Considerations</w:t>
      </w:r>
    </w:p>
    <w:p w:rsidR="00AE221A" w:rsidRDefault="00AE221A" w:rsidP="00AE221A">
      <w:pPr>
        <w:autoSpaceDE w:val="0"/>
        <w:autoSpaceDN w:val="0"/>
        <w:adjustRightInd w:val="0"/>
        <w:rPr>
          <w:rFonts w:cs="Arial"/>
          <w:szCs w:val="24"/>
        </w:rPr>
      </w:pPr>
    </w:p>
    <w:p w:rsidR="005522A9" w:rsidRDefault="005522A9" w:rsidP="005522A9">
      <w:r w:rsidRPr="005522A9">
        <w:t>The Fund takes an active stance on corporate governance issues.  It uses Pensions Investment Research Consultants (“PIRC”) to vote on its behalf at shareholder meetings.  PIRC advises on Socially Responsible Investment issues and issues voting guidance and commentary for shareholder meetings.  PIRC is instructed to vote the Fund's shares in accordance with its guidelines unless an Investment Manager requests a different vote for investment management reasons.  In the latter case, the Treasurer to the Fund will decide how best to cast the vote in the long-term financial interest of the Fund.</w:t>
      </w:r>
    </w:p>
    <w:p w:rsidR="005522A9" w:rsidRPr="005522A9" w:rsidRDefault="005522A9" w:rsidP="005522A9">
      <w:pPr>
        <w:rPr>
          <w:szCs w:val="24"/>
        </w:rPr>
      </w:pPr>
    </w:p>
    <w:p w:rsidR="005522A9" w:rsidRPr="005522A9" w:rsidRDefault="005522A9" w:rsidP="005522A9">
      <w:pPr>
        <w:rPr>
          <w:sz w:val="22"/>
          <w:szCs w:val="22"/>
        </w:rPr>
      </w:pPr>
      <w:r w:rsidRPr="005522A9">
        <w:t>The Fund is a member of the Local Authority Pension Fund Forum (“LAPFF”), which is a group of like-minded local authority pension funds that meet to discuss and act / engage in respect of Socially Responsible Investment and Corporate Governance issues.</w:t>
      </w:r>
    </w:p>
    <w:p w:rsidR="005522A9" w:rsidRPr="00723A74" w:rsidRDefault="005522A9" w:rsidP="00AE221A">
      <w:pPr>
        <w:autoSpaceDE w:val="0"/>
        <w:autoSpaceDN w:val="0"/>
        <w:adjustRightInd w:val="0"/>
        <w:rPr>
          <w:rFonts w:cs="Arial"/>
          <w:szCs w:val="24"/>
        </w:rPr>
      </w:pPr>
    </w:p>
    <w:p w:rsidR="00AE221A" w:rsidRPr="009234A6" w:rsidRDefault="00AE221A" w:rsidP="00AE221A">
      <w:pPr>
        <w:autoSpaceDE w:val="0"/>
        <w:autoSpaceDN w:val="0"/>
        <w:adjustRightInd w:val="0"/>
        <w:rPr>
          <w:rFonts w:ascii="Arial-BoldMT" w:hAnsi="Arial-BoldMT" w:cs="Arial-BoldMT"/>
          <w:b/>
          <w:bCs/>
          <w:szCs w:val="24"/>
        </w:rPr>
      </w:pPr>
    </w:p>
    <w:p w:rsidR="00AE221A" w:rsidRPr="009234A6" w:rsidRDefault="00AE221A" w:rsidP="00AE221A">
      <w:pPr>
        <w:autoSpaceDE w:val="0"/>
        <w:autoSpaceDN w:val="0"/>
        <w:adjustRightInd w:val="0"/>
        <w:rPr>
          <w:rFonts w:ascii="Arial-BoldMT" w:hAnsi="Arial-BoldMT" w:cs="Arial-BoldMT"/>
          <w:b/>
          <w:bCs/>
          <w:szCs w:val="24"/>
        </w:rPr>
      </w:pPr>
      <w:r w:rsidRPr="009234A6">
        <w:rPr>
          <w:rFonts w:ascii="Arial-BoldMT" w:hAnsi="Arial-BoldMT" w:cs="Arial-BoldMT"/>
          <w:b/>
          <w:bCs/>
          <w:szCs w:val="24"/>
        </w:rPr>
        <w:t>Policy on Voting</w:t>
      </w:r>
    </w:p>
    <w:p w:rsidR="00AE221A" w:rsidRPr="009234A6" w:rsidRDefault="00AE221A" w:rsidP="00AE221A">
      <w:pPr>
        <w:autoSpaceDE w:val="0"/>
        <w:autoSpaceDN w:val="0"/>
        <w:adjustRightInd w:val="0"/>
        <w:rPr>
          <w:rFonts w:ascii="ArialMT" w:hAnsi="ArialMT" w:cs="ArialMT"/>
          <w:szCs w:val="24"/>
        </w:rPr>
      </w:pPr>
    </w:p>
    <w:p w:rsidR="00AE221A" w:rsidRPr="009234A6" w:rsidRDefault="00AE221A" w:rsidP="00AE221A">
      <w:pPr>
        <w:autoSpaceDE w:val="0"/>
        <w:autoSpaceDN w:val="0"/>
        <w:adjustRightInd w:val="0"/>
      </w:pPr>
      <w:r w:rsidRPr="009234A6">
        <w:t xml:space="preserve">For many years, the Fund has followed the voting recommendations of PIRC with the Fund's managers being instructed to vote at shareholder meetings in accordance with PIRC's recommendations.  PIRC has been acting as the Fund's proxy since 2011 and casting the Fund's votes directly at shareholder meetings.  </w:t>
      </w:r>
    </w:p>
    <w:p w:rsidR="00AE221A" w:rsidRPr="009234A6" w:rsidRDefault="00AE221A" w:rsidP="00AE221A">
      <w:pPr>
        <w:autoSpaceDE w:val="0"/>
        <w:autoSpaceDN w:val="0"/>
        <w:adjustRightInd w:val="0"/>
      </w:pPr>
    </w:p>
    <w:p w:rsidR="00AE221A" w:rsidRPr="009234A6" w:rsidRDefault="00AE221A" w:rsidP="00AE221A">
      <w:pPr>
        <w:autoSpaceDE w:val="0"/>
        <w:autoSpaceDN w:val="0"/>
        <w:adjustRightInd w:val="0"/>
      </w:pPr>
      <w:r w:rsidRPr="009234A6">
        <w:t>The Fund's investment managers receive advance notice of PIRC's voting intentions and may raise concerns with the Fund if they do not believe the recommended stance on a vote is in the best financial interests of the Fund.</w:t>
      </w:r>
    </w:p>
    <w:p w:rsidR="00AE221A" w:rsidRPr="009234A6" w:rsidRDefault="00AE221A" w:rsidP="00AE221A">
      <w:pPr>
        <w:autoSpaceDE w:val="0"/>
        <w:autoSpaceDN w:val="0"/>
        <w:adjustRightInd w:val="0"/>
      </w:pPr>
    </w:p>
    <w:p w:rsidR="00AE221A" w:rsidRPr="009234A6" w:rsidRDefault="00AE221A" w:rsidP="00AE221A">
      <w:pPr>
        <w:autoSpaceDE w:val="0"/>
        <w:autoSpaceDN w:val="0"/>
        <w:adjustRightInd w:val="0"/>
        <w:rPr>
          <w:rFonts w:ascii="ArialMT" w:hAnsi="ArialMT" w:cs="ArialMT"/>
          <w:szCs w:val="24"/>
        </w:rPr>
      </w:pPr>
      <w:r w:rsidRPr="009234A6">
        <w:rPr>
          <w:rFonts w:ascii="ArialMT" w:hAnsi="ArialMT" w:cs="ArialMT"/>
          <w:szCs w:val="24"/>
        </w:rPr>
        <w:t>The Committee delegates its agreement of any significant departure from the guidelines proposed by the managers, to the Treasurer as Chair of the Investment Panel. In all voting decisions the long-term financial interests of the Fund are paramount. There were no occurrences of this during 201</w:t>
      </w:r>
      <w:r w:rsidR="00D30A0F">
        <w:rPr>
          <w:rFonts w:ascii="ArialMT" w:hAnsi="ArialMT" w:cs="ArialMT"/>
          <w:szCs w:val="24"/>
        </w:rPr>
        <w:t>3</w:t>
      </w:r>
      <w:r w:rsidRPr="009234A6">
        <w:rPr>
          <w:rFonts w:ascii="ArialMT" w:hAnsi="ArialMT" w:cs="ArialMT"/>
          <w:szCs w:val="24"/>
        </w:rPr>
        <w:t>/1</w:t>
      </w:r>
      <w:r w:rsidR="00D30A0F">
        <w:rPr>
          <w:rFonts w:ascii="ArialMT" w:hAnsi="ArialMT" w:cs="ArialMT"/>
          <w:szCs w:val="24"/>
        </w:rPr>
        <w:t>4</w:t>
      </w:r>
      <w:r w:rsidRPr="009234A6">
        <w:rPr>
          <w:rFonts w:ascii="ArialMT" w:hAnsi="ArialMT" w:cs="ArialMT"/>
          <w:szCs w:val="24"/>
        </w:rPr>
        <w:t>.</w:t>
      </w:r>
    </w:p>
    <w:p w:rsidR="00AE221A" w:rsidRPr="009234A6" w:rsidRDefault="00AE221A" w:rsidP="00AE221A">
      <w:pPr>
        <w:autoSpaceDE w:val="0"/>
        <w:autoSpaceDN w:val="0"/>
        <w:adjustRightInd w:val="0"/>
        <w:rPr>
          <w:rFonts w:ascii="ArialMT" w:hAnsi="ArialMT" w:cs="ArialMT"/>
          <w:szCs w:val="24"/>
        </w:rPr>
      </w:pPr>
    </w:p>
    <w:p w:rsidR="00AE221A" w:rsidRPr="009234A6" w:rsidRDefault="00AE221A" w:rsidP="00AE221A">
      <w:pPr>
        <w:autoSpaceDE w:val="0"/>
        <w:autoSpaceDN w:val="0"/>
        <w:adjustRightInd w:val="0"/>
        <w:rPr>
          <w:rFonts w:ascii="Arial-BoldMT" w:hAnsi="Arial-BoldMT" w:cs="Arial-BoldMT"/>
          <w:b/>
          <w:bCs/>
          <w:szCs w:val="24"/>
        </w:rPr>
      </w:pPr>
      <w:r w:rsidRPr="009234A6">
        <w:rPr>
          <w:rFonts w:ascii="Arial-BoldMT" w:hAnsi="Arial-BoldMT" w:cs="Arial-BoldMT"/>
          <w:b/>
          <w:bCs/>
          <w:szCs w:val="24"/>
        </w:rPr>
        <w:t>Policy on Risk</w:t>
      </w:r>
    </w:p>
    <w:p w:rsidR="00AE221A" w:rsidRDefault="00AE221A" w:rsidP="00AE221A">
      <w:pPr>
        <w:autoSpaceDE w:val="0"/>
        <w:autoSpaceDN w:val="0"/>
        <w:adjustRightInd w:val="0"/>
        <w:rPr>
          <w:rFonts w:ascii="ArialMT" w:hAnsi="ArialMT" w:cs="ArialMT"/>
          <w:szCs w:val="24"/>
        </w:rPr>
      </w:pPr>
    </w:p>
    <w:p w:rsidR="002B199B" w:rsidRPr="008748E3" w:rsidRDefault="002B199B" w:rsidP="002B199B">
      <w:pPr>
        <w:spacing w:before="120" w:after="240"/>
        <w:rPr>
          <w:b/>
          <w:bCs/>
          <w:szCs w:val="24"/>
        </w:rPr>
      </w:pPr>
      <w:r w:rsidRPr="008748E3">
        <w:t>The consideration of investment risk forms part of the Pension Fund's overall risk register, which is presented to Pension Fund Committee on a bi-annual basis. The key risks and associated mitigations are replicated in the Funding Strategy Statement.</w:t>
      </w:r>
    </w:p>
    <w:p w:rsidR="002B199B" w:rsidRPr="008748E3" w:rsidRDefault="002B199B" w:rsidP="002B199B">
      <w:pPr>
        <w:spacing w:before="120" w:after="240"/>
        <w:rPr>
          <w:sz w:val="22"/>
          <w:szCs w:val="22"/>
        </w:rPr>
      </w:pPr>
      <w:r w:rsidRPr="008748E3">
        <w:t>The overriding objective of the Fund in respect of its investments is to minimise risk and maximise return while reducing volatility.  The structure of the investment management arrangements has been implemented in order to produce a balanced spread of risk for the portfolio.</w:t>
      </w:r>
    </w:p>
    <w:p w:rsidR="002B199B" w:rsidRPr="008748E3" w:rsidRDefault="002B199B" w:rsidP="002B199B">
      <w:pPr>
        <w:spacing w:before="120" w:after="240"/>
      </w:pPr>
      <w:r w:rsidRPr="008748E3">
        <w:t xml:space="preserve">Operational risk is minimised by having custody of the Fund's financial assets provided by a regulated, external, third party, professional custodian. </w:t>
      </w:r>
    </w:p>
    <w:p w:rsidR="002B199B" w:rsidRPr="008748E3" w:rsidRDefault="002B199B" w:rsidP="002B199B">
      <w:pPr>
        <w:spacing w:before="120" w:after="240"/>
      </w:pPr>
      <w:r w:rsidRPr="008748E3">
        <w:lastRenderedPageBreak/>
        <w:t>The Fund’s Global Custodian is Northern Trust.  All public market investments are held in nominee accounts of Northern Trust.</w:t>
      </w:r>
    </w:p>
    <w:p w:rsidR="002B199B" w:rsidRPr="008748E3" w:rsidRDefault="002B199B" w:rsidP="002B199B">
      <w:pPr>
        <w:spacing w:before="120" w:after="240"/>
      </w:pPr>
      <w:r w:rsidRPr="008748E3">
        <w:t>All private market investments, including interests in private equity, property and other pooled funds are held directly in the name of Lancashire County Council as administering authority of the Lancashire County Pension Fund.  Northern Trust provides detailed investment accounting and reconciliation services for all private market investments.</w:t>
      </w:r>
    </w:p>
    <w:p w:rsidR="002B199B" w:rsidRPr="008748E3" w:rsidRDefault="002B199B" w:rsidP="002B199B">
      <w:pPr>
        <w:spacing w:before="120"/>
      </w:pPr>
      <w:r w:rsidRPr="008748E3">
        <w:t>The title deeds in respect of the Fund’s property holdings are held by Lancashire County Council and its property solicitors.</w:t>
      </w:r>
    </w:p>
    <w:p w:rsidR="002B199B" w:rsidRPr="009234A6" w:rsidRDefault="002B199B" w:rsidP="00AE221A">
      <w:pPr>
        <w:autoSpaceDE w:val="0"/>
        <w:autoSpaceDN w:val="0"/>
        <w:adjustRightInd w:val="0"/>
        <w:rPr>
          <w:rFonts w:ascii="ArialMT" w:hAnsi="ArialMT" w:cs="ArialMT"/>
          <w:szCs w:val="24"/>
        </w:rPr>
      </w:pPr>
    </w:p>
    <w:p w:rsidR="00AE221A" w:rsidRPr="009234A6" w:rsidRDefault="00AE221A" w:rsidP="00AE221A">
      <w:pPr>
        <w:autoSpaceDE w:val="0"/>
        <w:autoSpaceDN w:val="0"/>
        <w:adjustRightInd w:val="0"/>
        <w:rPr>
          <w:rFonts w:ascii="Arial-BoldMT" w:hAnsi="Arial-BoldMT" w:cs="Arial-BoldMT"/>
          <w:b/>
          <w:bCs/>
          <w:szCs w:val="24"/>
        </w:rPr>
      </w:pPr>
    </w:p>
    <w:p w:rsidR="00AE221A" w:rsidRPr="009234A6" w:rsidRDefault="00AE221A" w:rsidP="00AE221A">
      <w:pPr>
        <w:autoSpaceDE w:val="0"/>
        <w:autoSpaceDN w:val="0"/>
        <w:adjustRightInd w:val="0"/>
        <w:rPr>
          <w:rFonts w:ascii="Arial-BoldMT" w:hAnsi="Arial-BoldMT" w:cs="Arial-BoldMT"/>
          <w:b/>
          <w:bCs/>
          <w:szCs w:val="24"/>
        </w:rPr>
      </w:pPr>
      <w:r w:rsidRPr="009234A6">
        <w:rPr>
          <w:rFonts w:ascii="Arial-BoldMT" w:hAnsi="Arial-BoldMT" w:cs="Arial-BoldMT"/>
          <w:b/>
          <w:bCs/>
          <w:szCs w:val="24"/>
        </w:rPr>
        <w:t>Compliance with Myners Principles</w:t>
      </w:r>
    </w:p>
    <w:p w:rsidR="00AE221A" w:rsidRPr="009234A6" w:rsidRDefault="00AE221A" w:rsidP="00AE221A">
      <w:pPr>
        <w:autoSpaceDE w:val="0"/>
        <w:autoSpaceDN w:val="0"/>
        <w:adjustRightInd w:val="0"/>
        <w:rPr>
          <w:rFonts w:ascii="ArialMT" w:hAnsi="ArialMT" w:cs="ArialMT"/>
          <w:color w:val="FF0000"/>
          <w:szCs w:val="24"/>
        </w:rPr>
      </w:pPr>
    </w:p>
    <w:p w:rsidR="00AE221A" w:rsidRPr="009234A6" w:rsidRDefault="00AE221A" w:rsidP="00AE221A">
      <w:pPr>
        <w:autoSpaceDE w:val="0"/>
        <w:autoSpaceDN w:val="0"/>
        <w:adjustRightInd w:val="0"/>
        <w:rPr>
          <w:rFonts w:ascii="ArialMT" w:hAnsi="ArialMT" w:cs="ArialMT"/>
          <w:szCs w:val="24"/>
        </w:rPr>
      </w:pPr>
      <w:r w:rsidRPr="009234A6">
        <w:rPr>
          <w:rFonts w:ascii="ArialMT" w:hAnsi="ArialMT" w:cs="ArialMT"/>
          <w:szCs w:val="24"/>
        </w:rPr>
        <w:t xml:space="preserve">The Fund is compliant with the Myners Principles, details of which can be found in the Statement of Investment Principles. </w:t>
      </w:r>
      <w:r w:rsidR="0034581D">
        <w:rPr>
          <w:rFonts w:ascii="ArialMT" w:hAnsi="ArialMT" w:cs="ArialMT"/>
          <w:szCs w:val="24"/>
        </w:rPr>
        <w:t xml:space="preserve"> </w:t>
      </w:r>
      <w:hyperlink r:id="rId31" w:history="1">
        <w:r w:rsidR="0034581D" w:rsidRPr="0034581D">
          <w:rPr>
            <w:rStyle w:val="Hyperlink"/>
            <w:rFonts w:ascii="ArialMT" w:hAnsi="ArialMT" w:cs="ArialMT"/>
            <w:szCs w:val="24"/>
          </w:rPr>
          <w:t xml:space="preserve">Statement of </w:t>
        </w:r>
        <w:r w:rsidR="001A6739">
          <w:rPr>
            <w:rStyle w:val="Hyperlink"/>
            <w:rFonts w:ascii="ArialMT" w:hAnsi="ArialMT" w:cs="ArialMT"/>
            <w:szCs w:val="24"/>
          </w:rPr>
          <w:t>I</w:t>
        </w:r>
        <w:r w:rsidR="0034581D" w:rsidRPr="0034581D">
          <w:rPr>
            <w:rStyle w:val="Hyperlink"/>
            <w:rFonts w:ascii="ArialMT" w:hAnsi="ArialMT" w:cs="ArialMT"/>
            <w:szCs w:val="24"/>
          </w:rPr>
          <w:t xml:space="preserve">nvestment </w:t>
        </w:r>
        <w:r w:rsidR="001A6739">
          <w:rPr>
            <w:rStyle w:val="Hyperlink"/>
            <w:rFonts w:ascii="ArialMT" w:hAnsi="ArialMT" w:cs="ArialMT"/>
            <w:szCs w:val="24"/>
          </w:rPr>
          <w:t>P</w:t>
        </w:r>
        <w:r w:rsidR="0034581D" w:rsidRPr="0034581D">
          <w:rPr>
            <w:rStyle w:val="Hyperlink"/>
            <w:rFonts w:ascii="ArialMT" w:hAnsi="ArialMT" w:cs="ArialMT"/>
            <w:szCs w:val="24"/>
          </w:rPr>
          <w:t>rinciples</w:t>
        </w:r>
      </w:hyperlink>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8A28A2" w:rsidRDefault="008A28A2">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AE221A" w:rsidRDefault="00AE221A">
      <w:pPr>
        <w:ind w:left="360"/>
        <w:rPr>
          <w:b/>
          <w:sz w:val="28"/>
          <w:szCs w:val="28"/>
        </w:rPr>
      </w:pPr>
    </w:p>
    <w:p w:rsidR="00E31FB3" w:rsidRDefault="00D14F61" w:rsidP="000E6874">
      <w:pPr>
        <w:numPr>
          <w:ilvl w:val="0"/>
          <w:numId w:val="42"/>
        </w:numPr>
        <w:rPr>
          <w:b/>
          <w:sz w:val="28"/>
          <w:szCs w:val="28"/>
        </w:rPr>
      </w:pPr>
      <w:r>
        <w:rPr>
          <w:b/>
          <w:sz w:val="28"/>
          <w:szCs w:val="28"/>
        </w:rPr>
        <w:lastRenderedPageBreak/>
        <w:t>Accounts of the Fund</w:t>
      </w:r>
    </w:p>
    <w:p w:rsidR="00D14F61" w:rsidRDefault="00D14F61" w:rsidP="00D14F61">
      <w:pPr>
        <w:rPr>
          <w:b/>
          <w:szCs w:val="24"/>
          <w:highlight w:val="yellow"/>
        </w:rPr>
      </w:pPr>
    </w:p>
    <w:p w:rsidR="00CE58F0" w:rsidRPr="00166665" w:rsidRDefault="00CE58F0" w:rsidP="00CE58F0">
      <w:pPr>
        <w:rPr>
          <w:b/>
          <w:szCs w:val="24"/>
        </w:rPr>
      </w:pPr>
      <w:r w:rsidRPr="00166665">
        <w:rPr>
          <w:b/>
          <w:szCs w:val="24"/>
        </w:rPr>
        <w:t>Responsibilities for the Statement of Accounts</w:t>
      </w:r>
    </w:p>
    <w:p w:rsidR="00CE58F0" w:rsidRPr="00166665" w:rsidRDefault="00CE58F0" w:rsidP="00CE58F0">
      <w:pPr>
        <w:rPr>
          <w:szCs w:val="24"/>
        </w:rPr>
      </w:pPr>
    </w:p>
    <w:p w:rsidR="00CE58F0" w:rsidRPr="00166665" w:rsidRDefault="00CE58F0" w:rsidP="00CE58F0">
      <w:pPr>
        <w:pStyle w:val="Heading4"/>
        <w:rPr>
          <w:szCs w:val="24"/>
          <w:u w:val="none"/>
        </w:rPr>
      </w:pPr>
      <w:r w:rsidRPr="00166665">
        <w:rPr>
          <w:szCs w:val="24"/>
          <w:u w:val="none"/>
        </w:rPr>
        <w:t>The Responsibilities of the Administering Authority</w:t>
      </w:r>
    </w:p>
    <w:p w:rsidR="00CE58F0" w:rsidRDefault="00CE58F0" w:rsidP="00CE58F0">
      <w:pPr>
        <w:rPr>
          <w:szCs w:val="24"/>
        </w:rPr>
      </w:pPr>
    </w:p>
    <w:p w:rsidR="00CE58F0" w:rsidRPr="00166665" w:rsidRDefault="00CE58F0" w:rsidP="00CE58F0">
      <w:pPr>
        <w:rPr>
          <w:szCs w:val="24"/>
        </w:rPr>
      </w:pPr>
      <w:r w:rsidRPr="00166665">
        <w:rPr>
          <w:szCs w:val="24"/>
        </w:rPr>
        <w:t>The Administering Authority is required:</w:t>
      </w:r>
    </w:p>
    <w:p w:rsidR="00CE58F0" w:rsidRPr="00166665" w:rsidRDefault="00CE58F0" w:rsidP="00CE58F0">
      <w:pPr>
        <w:rPr>
          <w:szCs w:val="24"/>
        </w:rPr>
      </w:pPr>
    </w:p>
    <w:p w:rsidR="00CE58F0" w:rsidRPr="00166665" w:rsidRDefault="00CE58F0" w:rsidP="00CE58F0">
      <w:pPr>
        <w:numPr>
          <w:ilvl w:val="0"/>
          <w:numId w:val="1"/>
        </w:numPr>
        <w:jc w:val="both"/>
        <w:rPr>
          <w:szCs w:val="24"/>
        </w:rPr>
      </w:pPr>
      <w:r w:rsidRPr="00166665">
        <w:rPr>
          <w:szCs w:val="24"/>
        </w:rPr>
        <w:t xml:space="preserve">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w:t>
      </w:r>
      <w:r>
        <w:rPr>
          <w:szCs w:val="24"/>
        </w:rPr>
        <w:t>County Treasurer</w:t>
      </w:r>
      <w:r w:rsidRPr="00166665">
        <w:rPr>
          <w:szCs w:val="24"/>
        </w:rPr>
        <w:t>, who is also the Treasurer to the Pension Fund;</w:t>
      </w:r>
    </w:p>
    <w:p w:rsidR="00CE58F0" w:rsidRPr="00166665" w:rsidRDefault="00CE58F0" w:rsidP="00CE58F0">
      <w:pPr>
        <w:jc w:val="both"/>
        <w:rPr>
          <w:szCs w:val="24"/>
        </w:rPr>
      </w:pPr>
    </w:p>
    <w:p w:rsidR="00CE58F0" w:rsidRPr="00166665" w:rsidRDefault="00CE58F0" w:rsidP="00CE58F0">
      <w:pPr>
        <w:numPr>
          <w:ilvl w:val="0"/>
          <w:numId w:val="1"/>
        </w:numPr>
        <w:jc w:val="both"/>
        <w:rPr>
          <w:szCs w:val="24"/>
        </w:rPr>
      </w:pPr>
      <w:r w:rsidRPr="00166665">
        <w:rPr>
          <w:szCs w:val="24"/>
        </w:rPr>
        <w:t>To manage its affairs to secure economic, efficient and effective use of resources, and to safeguard its assets.</w:t>
      </w:r>
    </w:p>
    <w:p w:rsidR="00CE58F0" w:rsidRPr="00166665" w:rsidRDefault="00CE58F0" w:rsidP="00CE58F0">
      <w:pPr>
        <w:rPr>
          <w:szCs w:val="24"/>
        </w:rPr>
      </w:pPr>
    </w:p>
    <w:p w:rsidR="00CE58F0" w:rsidRPr="00166665" w:rsidRDefault="00CE58F0" w:rsidP="00CE58F0">
      <w:pPr>
        <w:pStyle w:val="Heading4"/>
        <w:rPr>
          <w:szCs w:val="24"/>
          <w:u w:val="none"/>
        </w:rPr>
      </w:pPr>
      <w:r w:rsidRPr="00166665">
        <w:rPr>
          <w:szCs w:val="24"/>
          <w:u w:val="none"/>
        </w:rPr>
        <w:t>The Responsibilities of the Treasurer to the Pension Fund</w:t>
      </w:r>
    </w:p>
    <w:p w:rsidR="00CE58F0" w:rsidRDefault="00CE58F0" w:rsidP="00CE58F0">
      <w:pPr>
        <w:jc w:val="both"/>
        <w:rPr>
          <w:szCs w:val="24"/>
        </w:rPr>
      </w:pPr>
    </w:p>
    <w:p w:rsidR="00CE58F0" w:rsidRPr="00166665" w:rsidRDefault="00CE58F0" w:rsidP="00CE58F0">
      <w:pPr>
        <w:jc w:val="both"/>
        <w:rPr>
          <w:szCs w:val="24"/>
        </w:rPr>
      </w:pPr>
      <w:r w:rsidRPr="00166665">
        <w:rPr>
          <w:szCs w:val="24"/>
        </w:rPr>
        <w:t>The Treasurer to the Pension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CE58F0" w:rsidRPr="00166665" w:rsidRDefault="00CE58F0" w:rsidP="00CE58F0">
      <w:pPr>
        <w:rPr>
          <w:szCs w:val="24"/>
        </w:rPr>
      </w:pPr>
    </w:p>
    <w:p w:rsidR="00CE58F0" w:rsidRPr="00166665" w:rsidRDefault="00CE58F0" w:rsidP="00CE58F0">
      <w:pPr>
        <w:rPr>
          <w:szCs w:val="24"/>
        </w:rPr>
      </w:pPr>
      <w:r w:rsidRPr="00166665">
        <w:rPr>
          <w:szCs w:val="24"/>
        </w:rPr>
        <w:t>In preparing this statement of accounts, the Treasurer to the Pension Fund has:</w:t>
      </w:r>
    </w:p>
    <w:p w:rsidR="00CE58F0" w:rsidRPr="00166665" w:rsidRDefault="00CE58F0" w:rsidP="00CE58F0">
      <w:pPr>
        <w:rPr>
          <w:szCs w:val="24"/>
        </w:rPr>
      </w:pPr>
    </w:p>
    <w:p w:rsidR="00CE58F0" w:rsidRPr="00166665" w:rsidRDefault="00CE58F0" w:rsidP="00CE58F0">
      <w:pPr>
        <w:numPr>
          <w:ilvl w:val="0"/>
          <w:numId w:val="1"/>
        </w:numPr>
        <w:rPr>
          <w:szCs w:val="24"/>
        </w:rPr>
      </w:pPr>
      <w:r w:rsidRPr="00166665">
        <w:rPr>
          <w:szCs w:val="24"/>
        </w:rPr>
        <w:t>Selected suitable accounting policies and then applied them consistently;</w:t>
      </w:r>
      <w:r w:rsidRPr="00166665">
        <w:rPr>
          <w:szCs w:val="24"/>
        </w:rPr>
        <w:br/>
      </w:r>
    </w:p>
    <w:p w:rsidR="00CE58F0" w:rsidRPr="00166665" w:rsidRDefault="00CE58F0" w:rsidP="00CE58F0">
      <w:pPr>
        <w:numPr>
          <w:ilvl w:val="0"/>
          <w:numId w:val="1"/>
        </w:numPr>
        <w:rPr>
          <w:szCs w:val="24"/>
        </w:rPr>
      </w:pPr>
      <w:r w:rsidRPr="00166665">
        <w:rPr>
          <w:szCs w:val="24"/>
        </w:rPr>
        <w:t>Made judgements and estimates that were reasonable and prudent;</w:t>
      </w:r>
      <w:r w:rsidRPr="00166665">
        <w:rPr>
          <w:szCs w:val="24"/>
        </w:rPr>
        <w:br/>
      </w:r>
    </w:p>
    <w:p w:rsidR="00CE58F0" w:rsidRPr="00166665" w:rsidRDefault="00CE58F0" w:rsidP="00CE58F0">
      <w:pPr>
        <w:numPr>
          <w:ilvl w:val="0"/>
          <w:numId w:val="1"/>
        </w:numPr>
        <w:rPr>
          <w:szCs w:val="24"/>
        </w:rPr>
      </w:pPr>
      <w:r w:rsidRPr="00166665">
        <w:rPr>
          <w:szCs w:val="24"/>
        </w:rPr>
        <w:t>Complied with the Code.</w:t>
      </w:r>
    </w:p>
    <w:p w:rsidR="00CE58F0" w:rsidRPr="00166665" w:rsidRDefault="00CE58F0" w:rsidP="00CE58F0">
      <w:pPr>
        <w:rPr>
          <w:szCs w:val="24"/>
        </w:rPr>
      </w:pPr>
    </w:p>
    <w:p w:rsidR="00CE58F0" w:rsidRPr="00166665" w:rsidRDefault="00CE58F0" w:rsidP="00CE58F0">
      <w:pPr>
        <w:rPr>
          <w:szCs w:val="24"/>
        </w:rPr>
      </w:pPr>
      <w:r w:rsidRPr="00166665">
        <w:rPr>
          <w:szCs w:val="24"/>
        </w:rPr>
        <w:t>In addition, the Treasurer to the Pension Fund has:</w:t>
      </w:r>
    </w:p>
    <w:p w:rsidR="00CE58F0" w:rsidRPr="00166665" w:rsidRDefault="00CE58F0" w:rsidP="00CE58F0">
      <w:pPr>
        <w:rPr>
          <w:szCs w:val="24"/>
        </w:rPr>
      </w:pPr>
    </w:p>
    <w:p w:rsidR="00CE58F0" w:rsidRPr="00166665" w:rsidRDefault="00CE58F0" w:rsidP="00CE58F0">
      <w:pPr>
        <w:numPr>
          <w:ilvl w:val="0"/>
          <w:numId w:val="1"/>
        </w:numPr>
        <w:rPr>
          <w:szCs w:val="24"/>
        </w:rPr>
      </w:pPr>
      <w:r w:rsidRPr="00166665">
        <w:rPr>
          <w:szCs w:val="24"/>
        </w:rPr>
        <w:t>Kept proper accounting records which were up to date;</w:t>
      </w:r>
    </w:p>
    <w:p w:rsidR="00CE58F0" w:rsidRPr="00166665" w:rsidRDefault="00CE58F0" w:rsidP="00CE58F0">
      <w:pPr>
        <w:pStyle w:val="Header"/>
        <w:rPr>
          <w:szCs w:val="24"/>
        </w:rPr>
      </w:pPr>
    </w:p>
    <w:p w:rsidR="00CE58F0" w:rsidRPr="00166665" w:rsidRDefault="00CE58F0" w:rsidP="00CE58F0">
      <w:pPr>
        <w:numPr>
          <w:ilvl w:val="0"/>
          <w:numId w:val="1"/>
        </w:numPr>
        <w:rPr>
          <w:szCs w:val="24"/>
        </w:rPr>
      </w:pPr>
      <w:r w:rsidRPr="00166665">
        <w:rPr>
          <w:szCs w:val="24"/>
        </w:rPr>
        <w:t>Taken responsible steps for the prevention and detection of fraud and other irregularities.</w:t>
      </w:r>
    </w:p>
    <w:p w:rsidR="00CE58F0" w:rsidRPr="00166665" w:rsidRDefault="00CE58F0" w:rsidP="00CE58F0">
      <w:pPr>
        <w:pStyle w:val="Heading5"/>
        <w:spacing w:line="360" w:lineRule="auto"/>
        <w:jc w:val="center"/>
        <w:rPr>
          <w:rFonts w:ascii="Arial" w:hAnsi="Arial"/>
          <w:szCs w:val="24"/>
        </w:rPr>
      </w:pPr>
    </w:p>
    <w:p w:rsidR="00CE58F0" w:rsidRPr="00166665" w:rsidRDefault="00CE58F0" w:rsidP="00CE58F0">
      <w:pPr>
        <w:rPr>
          <w:szCs w:val="24"/>
        </w:rPr>
      </w:pPr>
      <w:r w:rsidRPr="00166665">
        <w:rPr>
          <w:szCs w:val="24"/>
        </w:rPr>
        <w:t>The Statement of Accounts relate to the financial year ended 31 March 201</w:t>
      </w:r>
      <w:r>
        <w:rPr>
          <w:szCs w:val="24"/>
        </w:rPr>
        <w:t>4</w:t>
      </w:r>
      <w:r w:rsidRPr="00166665">
        <w:rPr>
          <w:szCs w:val="24"/>
        </w:rPr>
        <w:t xml:space="preserve"> and include the Fund Account and the Statement of Net Assets which are prepared in accordance with standard accounting practice as outlined in the notes to the accounts of the Pension Fund.</w:t>
      </w:r>
    </w:p>
    <w:p w:rsidR="00CE58F0" w:rsidRPr="00166665" w:rsidRDefault="00CE58F0" w:rsidP="00CE58F0">
      <w:pPr>
        <w:rPr>
          <w:szCs w:val="24"/>
        </w:rPr>
      </w:pPr>
    </w:p>
    <w:p w:rsidR="00CE58F0" w:rsidRDefault="00CE58F0" w:rsidP="00CE58F0">
      <w:pPr>
        <w:rPr>
          <w:szCs w:val="24"/>
        </w:rPr>
      </w:pPr>
    </w:p>
    <w:p w:rsidR="00CE58F0" w:rsidRDefault="00CE58F0" w:rsidP="00CE58F0">
      <w:pPr>
        <w:rPr>
          <w:szCs w:val="24"/>
        </w:rPr>
      </w:pPr>
    </w:p>
    <w:p w:rsidR="00CE58F0" w:rsidRPr="00166665" w:rsidRDefault="00CE58F0" w:rsidP="00CE58F0">
      <w:pPr>
        <w:rPr>
          <w:szCs w:val="24"/>
        </w:rPr>
      </w:pPr>
    </w:p>
    <w:p w:rsidR="00CE58F0" w:rsidRPr="00166665" w:rsidRDefault="00CE58F0" w:rsidP="00CE58F0">
      <w:pPr>
        <w:rPr>
          <w:szCs w:val="24"/>
        </w:rPr>
      </w:pPr>
      <w:r>
        <w:rPr>
          <w:szCs w:val="24"/>
        </w:rPr>
        <w:t>Gill Kilpatrick</w:t>
      </w:r>
      <w:r w:rsidRPr="00166665">
        <w:rPr>
          <w:szCs w:val="24"/>
        </w:rPr>
        <w:t xml:space="preserve"> CPFA</w:t>
      </w:r>
    </w:p>
    <w:p w:rsidR="00CE58F0" w:rsidRPr="00166665" w:rsidRDefault="00CE58F0" w:rsidP="00CE58F0">
      <w:pPr>
        <w:rPr>
          <w:szCs w:val="24"/>
        </w:rPr>
      </w:pPr>
      <w:r w:rsidRPr="00166665">
        <w:rPr>
          <w:szCs w:val="24"/>
        </w:rPr>
        <w:t>Treasurer to the Lancashire County Pension Fund</w:t>
      </w:r>
    </w:p>
    <w:p w:rsidR="00CE58F0" w:rsidRPr="00166665" w:rsidRDefault="00CE58F0" w:rsidP="00CE58F0">
      <w:pPr>
        <w:rPr>
          <w:szCs w:val="24"/>
        </w:rPr>
      </w:pPr>
      <w:r>
        <w:rPr>
          <w:szCs w:val="24"/>
        </w:rPr>
        <w:t>27 June 2014</w:t>
      </w:r>
    </w:p>
    <w:p w:rsidR="00CE58F0" w:rsidRPr="00EE6902" w:rsidRDefault="00CE58F0" w:rsidP="00CE58F0">
      <w:pPr>
        <w:autoSpaceDE w:val="0"/>
        <w:autoSpaceDN w:val="0"/>
        <w:adjustRightInd w:val="0"/>
        <w:rPr>
          <w:rFonts w:ascii="ArialMT" w:hAnsi="ArialMT" w:cs="ArialMT"/>
          <w:szCs w:val="24"/>
        </w:rPr>
      </w:pPr>
      <w:r w:rsidRPr="00EE6902">
        <w:rPr>
          <w:rFonts w:ascii="ArialMT" w:hAnsi="ArialMT" w:cs="ArialMT"/>
          <w:szCs w:val="24"/>
        </w:rPr>
        <w:t xml:space="preserve"> </w:t>
      </w:r>
    </w:p>
    <w:p w:rsidR="00CE58F0" w:rsidRDefault="00CE58F0" w:rsidP="00CE58F0">
      <w:pPr>
        <w:rPr>
          <w:b/>
          <w:sz w:val="28"/>
          <w:szCs w:val="28"/>
        </w:rPr>
      </w:pPr>
    </w:p>
    <w:p w:rsidR="00DF6ED0" w:rsidRDefault="00DF6ED0" w:rsidP="00DF6ED0">
      <w:pPr>
        <w:pStyle w:val="BodyText2"/>
        <w:rPr>
          <w:b/>
          <w:szCs w:val="24"/>
        </w:rPr>
      </w:pPr>
      <w:r w:rsidRPr="00DF6ED0">
        <w:rPr>
          <w:b/>
          <w:szCs w:val="24"/>
        </w:rPr>
        <w:lastRenderedPageBreak/>
        <w:t xml:space="preserve">INDEPENDENT AUDITOR’S STATEMENT TO THE MEMBERS OF </w:t>
      </w:r>
      <w:r>
        <w:rPr>
          <w:b/>
          <w:szCs w:val="24"/>
        </w:rPr>
        <w:t>LANCASHIRE COUNTY</w:t>
      </w:r>
      <w:r w:rsidRPr="00DF6ED0">
        <w:rPr>
          <w:b/>
          <w:szCs w:val="24"/>
        </w:rPr>
        <w:t xml:space="preserve"> PENSION FUND ON THE PENSION FUND FINANCIAL STATEMENTS</w:t>
      </w:r>
    </w:p>
    <w:p w:rsidR="00522BA2" w:rsidRPr="00DF6ED0" w:rsidRDefault="00522BA2" w:rsidP="00DF6ED0">
      <w:pPr>
        <w:pStyle w:val="BodyText2"/>
        <w:rPr>
          <w:b/>
          <w:szCs w:val="24"/>
        </w:rPr>
      </w:pPr>
    </w:p>
    <w:p w:rsidR="00CE58F0" w:rsidRPr="00554A40" w:rsidRDefault="00CE58F0" w:rsidP="00CE58F0">
      <w:pPr>
        <w:rPr>
          <w:rFonts w:cs="Arial"/>
          <w:b/>
        </w:rPr>
      </w:pPr>
    </w:p>
    <w:p w:rsidR="00CE58F0" w:rsidRPr="00522BA2" w:rsidRDefault="00DF6ED0" w:rsidP="00CE58F0">
      <w:pPr>
        <w:rPr>
          <w:color w:val="FFFFFF" w:themeColor="background1"/>
          <w:szCs w:val="22"/>
        </w:rPr>
      </w:pPr>
      <w:r w:rsidRPr="00522BA2">
        <w:rPr>
          <w:color w:val="FFFFFF" w:themeColor="background1"/>
          <w:szCs w:val="22"/>
        </w:rPr>
        <w:t>We have examined the pension fund financial statements for the year ended 31 March 2014, which comprise the Fund Account, the Net Assets Statement and the related notes.</w:t>
      </w:r>
    </w:p>
    <w:p w:rsidR="00DF6ED0" w:rsidRPr="00522BA2" w:rsidRDefault="00DF6ED0" w:rsidP="00CE58F0">
      <w:pPr>
        <w:rPr>
          <w:color w:val="FFFFFF" w:themeColor="background1"/>
          <w:szCs w:val="22"/>
        </w:rPr>
      </w:pPr>
    </w:p>
    <w:p w:rsidR="00DF6ED0" w:rsidRPr="00522BA2" w:rsidRDefault="00DF6ED0" w:rsidP="00DF6ED0">
      <w:pPr>
        <w:pStyle w:val="BodyText2"/>
        <w:spacing w:after="240"/>
        <w:rPr>
          <w:rFonts w:cs="Arial"/>
          <w:color w:val="FFFFFF" w:themeColor="background1"/>
          <w:szCs w:val="24"/>
        </w:rPr>
      </w:pPr>
      <w:r w:rsidRPr="00522BA2">
        <w:rPr>
          <w:rFonts w:cs="Arial"/>
          <w:color w:val="FFFFFF" w:themeColor="background1"/>
          <w:szCs w:val="24"/>
        </w:rPr>
        <w:t>This report is made solely to the members of Lancashire County Pension Fund in accordance with Part II of the Audit Commission Act 1998 and for no other purpose, as set out in paragraph 48 of the Statement of Responsibilities of Auditors and Audited Bodies published by the Audit Commission in March 2010. To the fullest extent permitted by law, we do not accept or assume responsibility to anyone other than the Authority and the Authority's Members as a body, for our audit work, for this report, or for the opinions we have formed.</w:t>
      </w:r>
    </w:p>
    <w:p w:rsidR="00DF6ED0" w:rsidRPr="00522BA2" w:rsidRDefault="00DF6ED0" w:rsidP="00DF6ED0">
      <w:pPr>
        <w:pStyle w:val="BodyText2"/>
        <w:spacing w:after="240"/>
        <w:rPr>
          <w:b/>
          <w:color w:val="FFFFFF" w:themeColor="background1"/>
          <w:szCs w:val="24"/>
        </w:rPr>
      </w:pPr>
      <w:r w:rsidRPr="00522BA2">
        <w:rPr>
          <w:b/>
          <w:color w:val="FFFFFF" w:themeColor="background1"/>
          <w:szCs w:val="24"/>
        </w:rPr>
        <w:t>Respective responsibilities of the Treasurer to the Pension Fund and the auditor</w:t>
      </w:r>
    </w:p>
    <w:p w:rsidR="00DF6ED0" w:rsidRPr="00522BA2" w:rsidRDefault="00DF6ED0" w:rsidP="00DF6ED0">
      <w:pPr>
        <w:pStyle w:val="BodyText2"/>
        <w:spacing w:after="240"/>
        <w:rPr>
          <w:color w:val="FFFFFF" w:themeColor="background1"/>
          <w:szCs w:val="24"/>
        </w:rPr>
      </w:pPr>
      <w:r w:rsidRPr="00522BA2">
        <w:rPr>
          <w:color w:val="FFFFFF" w:themeColor="background1"/>
          <w:szCs w:val="24"/>
        </w:rPr>
        <w:t>As explained more fully in the Statement of the Responsibilities of the Treasurer to the Pension Fund, the Treasurer of the Pension Fund is responsible for the preparation of the pension fund’s financial statements in accordance with applicable United Kingdom law.</w:t>
      </w:r>
    </w:p>
    <w:p w:rsidR="00DF6ED0" w:rsidRPr="00522BA2" w:rsidRDefault="00DF6ED0" w:rsidP="00DF6ED0">
      <w:pPr>
        <w:pStyle w:val="BodyText2"/>
        <w:spacing w:after="240"/>
        <w:rPr>
          <w:color w:val="FFFFFF" w:themeColor="background1"/>
          <w:szCs w:val="24"/>
        </w:rPr>
      </w:pPr>
      <w:r w:rsidRPr="00522BA2">
        <w:rPr>
          <w:color w:val="FFFFFF" w:themeColor="background1"/>
          <w:szCs w:val="24"/>
        </w:rPr>
        <w:t>Our responsibility is to report to you our opinion on the consistency of the pension fund financial statements within the pension fund annual report with the pension fund financial statements in the statement of accounts of Lancashire County Pension Fund, and its compliance with applicable law and the CIPFA/LASAAC Code of Practice on Local Authority Accounting in the United Kingdom 2013/14.</w:t>
      </w:r>
    </w:p>
    <w:p w:rsidR="00DF6ED0" w:rsidRPr="00522BA2" w:rsidRDefault="00DF6ED0" w:rsidP="00DF6ED0">
      <w:pPr>
        <w:pStyle w:val="BodyText2"/>
        <w:spacing w:after="240"/>
        <w:rPr>
          <w:color w:val="FFFFFF" w:themeColor="background1"/>
          <w:szCs w:val="24"/>
        </w:rPr>
      </w:pPr>
      <w:r w:rsidRPr="00522BA2">
        <w:rPr>
          <w:color w:val="FFFFFF" w:themeColor="background1"/>
          <w:szCs w:val="24"/>
        </w:rPr>
        <w:t xml:space="preserve">We also read the other information contained in the pension fund annual report and consider the implications for our report if we become aware of any apparent misstatements or material inconsistencies with the pension fund financial statements. </w:t>
      </w:r>
    </w:p>
    <w:p w:rsidR="00DF6ED0" w:rsidRPr="00522BA2" w:rsidRDefault="00DF6ED0" w:rsidP="00DF6ED0">
      <w:pPr>
        <w:pStyle w:val="BodyText2"/>
        <w:spacing w:after="240"/>
        <w:rPr>
          <w:color w:val="FFFFFF" w:themeColor="background1"/>
          <w:szCs w:val="24"/>
        </w:rPr>
      </w:pPr>
      <w:r w:rsidRPr="00522BA2">
        <w:rPr>
          <w:color w:val="FFFFFF" w:themeColor="background1"/>
          <w:szCs w:val="24"/>
        </w:rPr>
        <w:t>We conducted our work in accordance with Bulletin 2008/3 issued by the Auditing Practices Board. Our report on the administering authority’s full annual statement of accounts describes the basis of our opinion on those financial statements.</w:t>
      </w:r>
    </w:p>
    <w:p w:rsidR="00DF6ED0" w:rsidRPr="00522BA2" w:rsidRDefault="00DF6ED0" w:rsidP="00DF6ED0">
      <w:pPr>
        <w:pStyle w:val="BodyText2"/>
        <w:spacing w:after="240"/>
        <w:rPr>
          <w:b/>
          <w:color w:val="FFFFFF" w:themeColor="background1"/>
          <w:szCs w:val="24"/>
        </w:rPr>
      </w:pPr>
      <w:r w:rsidRPr="00522BA2">
        <w:rPr>
          <w:b/>
          <w:color w:val="FFFFFF" w:themeColor="background1"/>
          <w:szCs w:val="24"/>
        </w:rPr>
        <w:t>Opinion</w:t>
      </w:r>
    </w:p>
    <w:p w:rsidR="00DF6ED0" w:rsidRPr="00522BA2" w:rsidRDefault="00DF6ED0" w:rsidP="00DF6ED0">
      <w:pPr>
        <w:pStyle w:val="BodyText2"/>
        <w:spacing w:after="240"/>
        <w:rPr>
          <w:color w:val="FFFFFF" w:themeColor="background1"/>
          <w:szCs w:val="24"/>
        </w:rPr>
      </w:pPr>
      <w:r w:rsidRPr="00522BA2">
        <w:rPr>
          <w:color w:val="FFFFFF" w:themeColor="background1"/>
          <w:szCs w:val="24"/>
        </w:rPr>
        <w:t>In our opinion, the pension fund financial statements are consistent with the full annual statement of accounts of Lancashire County Pension Fund for the year ended 31 March 2014 and comply with applicable law and the CIPFA/LASAAC Code of Practice on Local Authority Accounting in the United Kingdom 2013/14.</w:t>
      </w:r>
    </w:p>
    <w:p w:rsidR="00522BA2" w:rsidRPr="00522BA2" w:rsidRDefault="00522BA2" w:rsidP="00522BA2">
      <w:pPr>
        <w:pStyle w:val="BodyText2"/>
        <w:spacing w:after="240"/>
        <w:rPr>
          <w:color w:val="FFFFFF" w:themeColor="background1"/>
          <w:szCs w:val="24"/>
        </w:rPr>
      </w:pPr>
      <w:r w:rsidRPr="00522BA2">
        <w:rPr>
          <w:color w:val="FFFFFF" w:themeColor="background1"/>
          <w:szCs w:val="24"/>
        </w:rPr>
        <w:t>We have not considered the effects of any events between the date we signed our report on the full annual statement of accounts and the date of this statement.</w:t>
      </w:r>
    </w:p>
    <w:p w:rsidR="00522BA2" w:rsidRDefault="00522BA2" w:rsidP="00522BA2">
      <w:pPr>
        <w:pStyle w:val="BodyText2"/>
        <w:spacing w:after="240"/>
        <w:rPr>
          <w:szCs w:val="24"/>
        </w:rPr>
      </w:pPr>
    </w:p>
    <w:p w:rsidR="00522BA2" w:rsidRDefault="00522BA2" w:rsidP="00522BA2">
      <w:pPr>
        <w:pStyle w:val="BodyText2"/>
        <w:spacing w:after="240"/>
        <w:rPr>
          <w:szCs w:val="24"/>
        </w:rPr>
      </w:pPr>
    </w:p>
    <w:p w:rsidR="00522BA2" w:rsidRDefault="00522BA2" w:rsidP="00522BA2">
      <w:pPr>
        <w:pStyle w:val="BodyText2"/>
        <w:spacing w:after="240"/>
        <w:rPr>
          <w:szCs w:val="24"/>
        </w:rPr>
      </w:pPr>
    </w:p>
    <w:p w:rsidR="00522BA2" w:rsidRDefault="00522BA2" w:rsidP="00522BA2">
      <w:pPr>
        <w:pStyle w:val="BodyText2"/>
        <w:spacing w:after="240"/>
        <w:rPr>
          <w:szCs w:val="24"/>
        </w:rPr>
      </w:pPr>
    </w:p>
    <w:p w:rsidR="00522BA2" w:rsidRDefault="00522BA2" w:rsidP="00522BA2">
      <w:pPr>
        <w:pStyle w:val="BodyText2"/>
        <w:spacing w:after="240"/>
        <w:rPr>
          <w:szCs w:val="24"/>
        </w:rPr>
      </w:pPr>
    </w:p>
    <w:p w:rsidR="00522BA2" w:rsidRPr="00522BA2" w:rsidRDefault="00522BA2" w:rsidP="00522BA2">
      <w:pPr>
        <w:pStyle w:val="BodyText2"/>
        <w:rPr>
          <w:rFonts w:cs="Arial"/>
          <w:szCs w:val="24"/>
        </w:rPr>
      </w:pPr>
    </w:p>
    <w:p w:rsidR="00522BA2" w:rsidRPr="00522BA2" w:rsidRDefault="00522BA2" w:rsidP="00522BA2">
      <w:pPr>
        <w:pStyle w:val="BodyText2"/>
        <w:rPr>
          <w:rFonts w:cs="Arial"/>
          <w:color w:val="FFFFFF" w:themeColor="background1"/>
          <w:szCs w:val="24"/>
        </w:rPr>
      </w:pPr>
      <w:r w:rsidRPr="00522BA2">
        <w:rPr>
          <w:rFonts w:cs="Arial"/>
          <w:color w:val="FFFFFF" w:themeColor="background1"/>
          <w:szCs w:val="24"/>
        </w:rPr>
        <w:t>Karen Murray</w:t>
      </w:r>
    </w:p>
    <w:p w:rsidR="00522BA2" w:rsidRPr="00522BA2" w:rsidRDefault="00522BA2" w:rsidP="00522BA2">
      <w:pPr>
        <w:pStyle w:val="BodyText2"/>
        <w:rPr>
          <w:rFonts w:cs="Arial"/>
          <w:color w:val="FFFFFF" w:themeColor="background1"/>
          <w:szCs w:val="24"/>
        </w:rPr>
      </w:pPr>
      <w:r w:rsidRPr="00522BA2">
        <w:rPr>
          <w:rFonts w:cs="Arial"/>
          <w:color w:val="FFFFFF" w:themeColor="background1"/>
          <w:szCs w:val="24"/>
        </w:rPr>
        <w:t>Director for and behalf of Grant Thornton UK LLP</w:t>
      </w:r>
    </w:p>
    <w:p w:rsidR="00522BA2" w:rsidRPr="00522BA2" w:rsidRDefault="00522BA2" w:rsidP="00522BA2">
      <w:pPr>
        <w:pStyle w:val="BodyText2"/>
        <w:rPr>
          <w:rFonts w:cs="Arial"/>
          <w:color w:val="FFFFFF" w:themeColor="background1"/>
          <w:szCs w:val="24"/>
        </w:rPr>
      </w:pPr>
      <w:r w:rsidRPr="00522BA2">
        <w:rPr>
          <w:rFonts w:cs="Arial"/>
          <w:color w:val="FFFFFF" w:themeColor="background1"/>
          <w:szCs w:val="24"/>
        </w:rPr>
        <w:t>Appointed Auditor</w:t>
      </w:r>
    </w:p>
    <w:p w:rsidR="00522BA2" w:rsidRPr="00522BA2" w:rsidRDefault="00522BA2" w:rsidP="00522BA2">
      <w:pPr>
        <w:pStyle w:val="BodyText2"/>
        <w:keepNext/>
        <w:rPr>
          <w:rFonts w:cs="Arial"/>
          <w:color w:val="FFFFFF" w:themeColor="background1"/>
          <w:szCs w:val="24"/>
        </w:rPr>
      </w:pPr>
    </w:p>
    <w:p w:rsidR="00522BA2" w:rsidRPr="00522BA2" w:rsidRDefault="00522BA2" w:rsidP="00522BA2">
      <w:pPr>
        <w:pStyle w:val="BodyText2"/>
        <w:keepNext/>
        <w:rPr>
          <w:rFonts w:cs="Arial"/>
          <w:color w:val="FFFFFF" w:themeColor="background1"/>
          <w:szCs w:val="24"/>
        </w:rPr>
      </w:pPr>
      <w:r w:rsidRPr="00522BA2">
        <w:rPr>
          <w:rFonts w:cs="Arial"/>
          <w:color w:val="FFFFFF" w:themeColor="background1"/>
          <w:szCs w:val="24"/>
        </w:rPr>
        <w:t>4 Hardman Square</w:t>
      </w:r>
    </w:p>
    <w:p w:rsidR="00522BA2" w:rsidRPr="00522BA2" w:rsidRDefault="00522BA2" w:rsidP="00522BA2">
      <w:pPr>
        <w:pStyle w:val="BodyText2"/>
        <w:keepNext/>
        <w:rPr>
          <w:rFonts w:cs="Arial"/>
          <w:color w:val="FFFFFF" w:themeColor="background1"/>
          <w:szCs w:val="24"/>
        </w:rPr>
      </w:pPr>
      <w:r w:rsidRPr="00522BA2">
        <w:rPr>
          <w:rFonts w:cs="Arial"/>
          <w:color w:val="FFFFFF" w:themeColor="background1"/>
          <w:szCs w:val="24"/>
        </w:rPr>
        <w:t>Spinningfields</w:t>
      </w:r>
    </w:p>
    <w:p w:rsidR="00522BA2" w:rsidRPr="00522BA2" w:rsidRDefault="00522BA2" w:rsidP="00522BA2">
      <w:pPr>
        <w:pStyle w:val="BodyText2"/>
        <w:keepNext/>
        <w:rPr>
          <w:rFonts w:cs="Arial"/>
          <w:color w:val="FFFFFF" w:themeColor="background1"/>
          <w:szCs w:val="24"/>
        </w:rPr>
      </w:pPr>
      <w:r w:rsidRPr="00522BA2">
        <w:rPr>
          <w:rFonts w:cs="Arial"/>
          <w:color w:val="FFFFFF" w:themeColor="background1"/>
          <w:szCs w:val="24"/>
        </w:rPr>
        <w:t xml:space="preserve"> Manchester</w:t>
      </w:r>
    </w:p>
    <w:p w:rsidR="00522BA2" w:rsidRPr="00522BA2" w:rsidRDefault="00522BA2" w:rsidP="00522BA2">
      <w:pPr>
        <w:pStyle w:val="BodyText2"/>
        <w:keepNext/>
        <w:rPr>
          <w:rFonts w:cs="Arial"/>
          <w:color w:val="FFFFFF" w:themeColor="background1"/>
          <w:szCs w:val="24"/>
        </w:rPr>
      </w:pPr>
      <w:r w:rsidRPr="00522BA2">
        <w:rPr>
          <w:rFonts w:cs="Arial"/>
          <w:color w:val="FFFFFF" w:themeColor="background1"/>
          <w:szCs w:val="24"/>
        </w:rPr>
        <w:t>M3 3EB</w:t>
      </w:r>
    </w:p>
    <w:p w:rsidR="00522BA2" w:rsidRPr="00522BA2" w:rsidRDefault="00522BA2" w:rsidP="00522BA2">
      <w:pPr>
        <w:pStyle w:val="BodyText2"/>
        <w:keepNext/>
        <w:rPr>
          <w:rFonts w:cs="Arial"/>
          <w:color w:val="FFFFFF" w:themeColor="background1"/>
          <w:szCs w:val="24"/>
        </w:rPr>
      </w:pPr>
    </w:p>
    <w:p w:rsidR="00CE58F0" w:rsidRPr="00522BA2" w:rsidRDefault="00522BA2" w:rsidP="00CE58F0">
      <w:pPr>
        <w:pStyle w:val="BodyText2"/>
        <w:keepNext/>
        <w:rPr>
          <w:color w:val="FFFFFF" w:themeColor="background1"/>
          <w:szCs w:val="22"/>
        </w:rPr>
      </w:pPr>
      <w:r w:rsidRPr="00522BA2">
        <w:rPr>
          <w:rFonts w:cs="Arial"/>
          <w:color w:val="FFFFFF" w:themeColor="background1"/>
          <w:szCs w:val="24"/>
        </w:rPr>
        <w:t>29 September</w:t>
      </w:r>
      <w:r w:rsidRPr="00522BA2">
        <w:rPr>
          <w:rFonts w:cs="Arial"/>
          <w:color w:val="FFFFFF" w:themeColor="background1"/>
          <w:sz w:val="22"/>
          <w:szCs w:val="22"/>
        </w:rPr>
        <w:t xml:space="preserve"> </w:t>
      </w:r>
      <w:r w:rsidRPr="00522BA2">
        <w:rPr>
          <w:rFonts w:cs="Arial"/>
          <w:color w:val="FFFFFF" w:themeColor="background1"/>
          <w:szCs w:val="24"/>
        </w:rPr>
        <w:t>2014</w:t>
      </w: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Default="00CE58F0" w:rsidP="00CE58F0">
      <w:pPr>
        <w:jc w:val="center"/>
        <w:rPr>
          <w:rFonts w:cs="Arial"/>
          <w:b/>
          <w:bCs/>
          <w:color w:val="000000"/>
          <w:sz w:val="26"/>
          <w:szCs w:val="22"/>
        </w:rPr>
      </w:pPr>
    </w:p>
    <w:p w:rsidR="00CE58F0" w:rsidRPr="005364C6" w:rsidRDefault="00CE58F0" w:rsidP="00CE58F0">
      <w:pPr>
        <w:jc w:val="center"/>
        <w:rPr>
          <w:rFonts w:cs="Arial"/>
          <w:b/>
          <w:bCs/>
          <w:color w:val="000000"/>
          <w:sz w:val="26"/>
          <w:szCs w:val="22"/>
        </w:rPr>
      </w:pPr>
      <w:r w:rsidRPr="005364C6">
        <w:rPr>
          <w:rFonts w:cs="Arial"/>
          <w:b/>
          <w:bCs/>
          <w:color w:val="000000"/>
          <w:sz w:val="26"/>
          <w:szCs w:val="22"/>
        </w:rPr>
        <w:lastRenderedPageBreak/>
        <w:t>Fund Account</w:t>
      </w:r>
    </w:p>
    <w:p w:rsidR="00CE58F0" w:rsidRDefault="00CE58F0" w:rsidP="00CE58F0">
      <w:pPr>
        <w:pStyle w:val="Heading5"/>
        <w:spacing w:line="360" w:lineRule="auto"/>
        <w:jc w:val="center"/>
        <w:rPr>
          <w:rFonts w:ascii="Arial" w:hAnsi="Arial"/>
          <w:szCs w:val="24"/>
          <w:u w:val="none"/>
        </w:rPr>
      </w:pPr>
    </w:p>
    <w:p w:rsidR="00CE58F0" w:rsidRPr="00C142FC" w:rsidRDefault="00CE58F0" w:rsidP="00CE58F0"/>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2063"/>
        <w:gridCol w:w="1537"/>
        <w:gridCol w:w="420"/>
        <w:gridCol w:w="1533"/>
      </w:tblGrid>
      <w:tr w:rsidR="00CE58F0" w:rsidTr="00413B8D">
        <w:tc>
          <w:tcPr>
            <w:tcW w:w="4208" w:type="dxa"/>
          </w:tcPr>
          <w:p w:rsidR="00CE58F0" w:rsidRDefault="00CE58F0" w:rsidP="00413B8D">
            <w:pPr>
              <w:rPr>
                <w:b/>
                <w:szCs w:val="24"/>
              </w:rPr>
            </w:pPr>
          </w:p>
          <w:p w:rsidR="00CE58F0" w:rsidRDefault="00CE58F0" w:rsidP="00413B8D">
            <w:pPr>
              <w:jc w:val="right"/>
              <w:rPr>
                <w:b/>
                <w:szCs w:val="24"/>
              </w:rPr>
            </w:pPr>
          </w:p>
        </w:tc>
        <w:tc>
          <w:tcPr>
            <w:tcW w:w="2126" w:type="dxa"/>
          </w:tcPr>
          <w:p w:rsidR="00CE58F0" w:rsidRDefault="00CE58F0" w:rsidP="00413B8D">
            <w:pPr>
              <w:rPr>
                <w:b/>
                <w:szCs w:val="24"/>
              </w:rPr>
            </w:pPr>
          </w:p>
          <w:p w:rsidR="00CE58F0" w:rsidRDefault="00CE58F0" w:rsidP="00413B8D">
            <w:pPr>
              <w:jc w:val="center"/>
              <w:rPr>
                <w:b/>
                <w:szCs w:val="24"/>
              </w:rPr>
            </w:pPr>
            <w:r>
              <w:rPr>
                <w:b/>
                <w:szCs w:val="24"/>
              </w:rPr>
              <w:t>Note</w:t>
            </w: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555"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9643EB" w:rsidTr="00413B8D">
        <w:tc>
          <w:tcPr>
            <w:tcW w:w="4208" w:type="dxa"/>
          </w:tcPr>
          <w:p w:rsidR="00CE58F0" w:rsidRDefault="00CE58F0" w:rsidP="00413B8D">
            <w:pPr>
              <w:spacing w:after="120"/>
              <w:rPr>
                <w:b/>
                <w:szCs w:val="24"/>
              </w:rPr>
            </w:pPr>
            <w:r>
              <w:rPr>
                <w:b/>
                <w:szCs w:val="24"/>
              </w:rPr>
              <w:t>Dealing with members, employers and others directly involved in the fund</w:t>
            </w:r>
          </w:p>
        </w:tc>
        <w:tc>
          <w:tcPr>
            <w:tcW w:w="2126" w:type="dxa"/>
          </w:tcPr>
          <w:p w:rsidR="00CE58F0" w:rsidRPr="009643EB" w:rsidRDefault="00CE58F0" w:rsidP="00413B8D">
            <w:pPr>
              <w:spacing w:after="120"/>
              <w:jc w:val="right"/>
              <w:rPr>
                <w:szCs w:val="24"/>
              </w:rPr>
            </w:pPr>
          </w:p>
        </w:tc>
        <w:tc>
          <w:tcPr>
            <w:tcW w:w="1559" w:type="dxa"/>
          </w:tcPr>
          <w:p w:rsidR="00CE58F0" w:rsidRPr="009643EB" w:rsidRDefault="00CE58F0" w:rsidP="00413B8D">
            <w:pPr>
              <w:spacing w:after="120"/>
              <w:jc w:val="right"/>
              <w:rPr>
                <w:szCs w:val="24"/>
              </w:rPr>
            </w:pP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Pr="009643EB" w:rsidRDefault="00CE58F0" w:rsidP="00413B8D">
            <w:pPr>
              <w:spacing w:after="120"/>
              <w:jc w:val="right"/>
              <w:rPr>
                <w:szCs w:val="24"/>
              </w:rPr>
            </w:pPr>
          </w:p>
        </w:tc>
      </w:tr>
      <w:tr w:rsidR="00CE58F0" w:rsidRPr="009643EB" w:rsidTr="00413B8D">
        <w:tc>
          <w:tcPr>
            <w:tcW w:w="4208" w:type="dxa"/>
          </w:tcPr>
          <w:p w:rsidR="00CE58F0" w:rsidRPr="009643EB" w:rsidRDefault="00CE58F0" w:rsidP="00413B8D">
            <w:pPr>
              <w:spacing w:after="120"/>
              <w:rPr>
                <w:szCs w:val="24"/>
              </w:rPr>
            </w:pPr>
            <w:r>
              <w:rPr>
                <w:szCs w:val="24"/>
              </w:rPr>
              <w:t>Contributions</w:t>
            </w:r>
          </w:p>
        </w:tc>
        <w:tc>
          <w:tcPr>
            <w:tcW w:w="2126" w:type="dxa"/>
          </w:tcPr>
          <w:p w:rsidR="00CE58F0" w:rsidRPr="009643EB" w:rsidRDefault="00CE58F0" w:rsidP="00413B8D">
            <w:pPr>
              <w:tabs>
                <w:tab w:val="left" w:pos="1026"/>
              </w:tabs>
              <w:spacing w:after="120"/>
              <w:jc w:val="center"/>
              <w:rPr>
                <w:szCs w:val="24"/>
              </w:rPr>
            </w:pPr>
            <w:r>
              <w:rPr>
                <w:szCs w:val="24"/>
              </w:rPr>
              <w:t>5</w:t>
            </w:r>
          </w:p>
        </w:tc>
        <w:tc>
          <w:tcPr>
            <w:tcW w:w="1559" w:type="dxa"/>
          </w:tcPr>
          <w:p w:rsidR="00CE58F0" w:rsidRPr="009643EB" w:rsidRDefault="00CE58F0" w:rsidP="00413B8D">
            <w:pPr>
              <w:spacing w:after="120"/>
              <w:jc w:val="right"/>
              <w:rPr>
                <w:szCs w:val="24"/>
              </w:rPr>
            </w:pPr>
            <w:r>
              <w:rPr>
                <w:szCs w:val="24"/>
              </w:rPr>
              <w:t>214.0</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Pr="009643EB" w:rsidRDefault="00CE58F0" w:rsidP="00413B8D">
            <w:pPr>
              <w:spacing w:after="120"/>
              <w:jc w:val="right"/>
              <w:rPr>
                <w:szCs w:val="24"/>
              </w:rPr>
            </w:pPr>
            <w:r>
              <w:rPr>
                <w:szCs w:val="24"/>
              </w:rPr>
              <w:t>202.7</w:t>
            </w:r>
          </w:p>
        </w:tc>
      </w:tr>
      <w:tr w:rsidR="00CE58F0" w:rsidRPr="009643EB" w:rsidTr="00413B8D">
        <w:tc>
          <w:tcPr>
            <w:tcW w:w="4208" w:type="dxa"/>
          </w:tcPr>
          <w:p w:rsidR="00CE58F0" w:rsidRDefault="00CE58F0" w:rsidP="00413B8D">
            <w:pPr>
              <w:spacing w:after="120"/>
              <w:rPr>
                <w:szCs w:val="24"/>
              </w:rPr>
            </w:pPr>
            <w:r>
              <w:rPr>
                <w:szCs w:val="24"/>
              </w:rPr>
              <w:t>Transfers in</w:t>
            </w:r>
          </w:p>
        </w:tc>
        <w:tc>
          <w:tcPr>
            <w:tcW w:w="2126" w:type="dxa"/>
          </w:tcPr>
          <w:p w:rsidR="00CE58F0" w:rsidRPr="009643EB" w:rsidRDefault="00CE58F0" w:rsidP="00413B8D">
            <w:pPr>
              <w:tabs>
                <w:tab w:val="left" w:pos="1026"/>
              </w:tabs>
              <w:spacing w:after="120"/>
              <w:jc w:val="center"/>
              <w:rPr>
                <w:szCs w:val="24"/>
              </w:rPr>
            </w:pPr>
            <w:r>
              <w:rPr>
                <w:szCs w:val="24"/>
              </w:rPr>
              <w:t>6</w:t>
            </w:r>
          </w:p>
        </w:tc>
        <w:tc>
          <w:tcPr>
            <w:tcW w:w="1559" w:type="dxa"/>
            <w:tcBorders>
              <w:bottom w:val="single" w:sz="18" w:space="0" w:color="auto"/>
            </w:tcBorders>
          </w:tcPr>
          <w:p w:rsidR="00CE58F0" w:rsidRPr="009643EB" w:rsidRDefault="00CE58F0" w:rsidP="00413B8D">
            <w:pPr>
              <w:spacing w:after="120"/>
              <w:jc w:val="right"/>
              <w:rPr>
                <w:szCs w:val="24"/>
              </w:rPr>
            </w:pPr>
            <w:r>
              <w:rPr>
                <w:szCs w:val="24"/>
              </w:rPr>
              <w:t>7.1</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bottom w:val="single" w:sz="18" w:space="0" w:color="auto"/>
            </w:tcBorders>
          </w:tcPr>
          <w:p w:rsidR="00CE58F0" w:rsidRDefault="00CE58F0" w:rsidP="00413B8D">
            <w:pPr>
              <w:spacing w:after="120"/>
              <w:jc w:val="right"/>
              <w:rPr>
                <w:szCs w:val="24"/>
              </w:rPr>
            </w:pPr>
            <w:r>
              <w:rPr>
                <w:szCs w:val="24"/>
              </w:rPr>
              <w:t>9.9</w:t>
            </w:r>
          </w:p>
        </w:tc>
      </w:tr>
      <w:tr w:rsidR="00CE58F0" w:rsidRPr="009643EB" w:rsidTr="00413B8D">
        <w:tc>
          <w:tcPr>
            <w:tcW w:w="4208" w:type="dxa"/>
          </w:tcPr>
          <w:p w:rsidR="00CE58F0" w:rsidRDefault="00CE58F0" w:rsidP="00413B8D">
            <w:pPr>
              <w:spacing w:after="120"/>
              <w:rPr>
                <w:szCs w:val="24"/>
              </w:rPr>
            </w:pPr>
          </w:p>
        </w:tc>
        <w:tc>
          <w:tcPr>
            <w:tcW w:w="2126" w:type="dxa"/>
          </w:tcPr>
          <w:p w:rsidR="00CE58F0" w:rsidRDefault="00CE58F0" w:rsidP="00413B8D">
            <w:pPr>
              <w:spacing w:after="120"/>
              <w:jc w:val="right"/>
              <w:rPr>
                <w:szCs w:val="24"/>
              </w:rPr>
            </w:pPr>
          </w:p>
        </w:tc>
        <w:tc>
          <w:tcPr>
            <w:tcW w:w="1559" w:type="dxa"/>
            <w:tcBorders>
              <w:top w:val="single" w:sz="18" w:space="0" w:color="auto"/>
              <w:bottom w:val="single" w:sz="18" w:space="0" w:color="auto"/>
            </w:tcBorders>
          </w:tcPr>
          <w:p w:rsidR="00CE58F0" w:rsidRPr="009643EB" w:rsidRDefault="00CE58F0" w:rsidP="00413B8D">
            <w:pPr>
              <w:spacing w:after="120"/>
              <w:jc w:val="right"/>
              <w:rPr>
                <w:szCs w:val="24"/>
              </w:rPr>
            </w:pPr>
            <w:r>
              <w:rPr>
                <w:szCs w:val="24"/>
              </w:rPr>
              <w:t>221.1</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top w:val="single" w:sz="18" w:space="0" w:color="auto"/>
              <w:left w:val="single" w:sz="4" w:space="0" w:color="FFFFFF" w:themeColor="background1"/>
              <w:bottom w:val="single" w:sz="18" w:space="0" w:color="auto"/>
            </w:tcBorders>
          </w:tcPr>
          <w:p w:rsidR="00CE58F0" w:rsidRDefault="00CE58F0" w:rsidP="00413B8D">
            <w:pPr>
              <w:spacing w:after="120"/>
              <w:jc w:val="right"/>
              <w:rPr>
                <w:szCs w:val="24"/>
              </w:rPr>
            </w:pPr>
            <w:r>
              <w:rPr>
                <w:szCs w:val="24"/>
              </w:rPr>
              <w:t>212.6</w:t>
            </w:r>
          </w:p>
        </w:tc>
      </w:tr>
      <w:tr w:rsidR="00CE58F0" w:rsidRPr="009643EB" w:rsidTr="00413B8D">
        <w:tc>
          <w:tcPr>
            <w:tcW w:w="4208" w:type="dxa"/>
          </w:tcPr>
          <w:p w:rsidR="00CE58F0" w:rsidRDefault="00CE58F0" w:rsidP="00413B8D">
            <w:pPr>
              <w:spacing w:after="120"/>
              <w:rPr>
                <w:szCs w:val="24"/>
              </w:rPr>
            </w:pPr>
          </w:p>
          <w:p w:rsidR="00CE58F0" w:rsidRDefault="00CE58F0" w:rsidP="00413B8D">
            <w:pPr>
              <w:spacing w:after="120"/>
              <w:rPr>
                <w:szCs w:val="24"/>
              </w:rPr>
            </w:pPr>
            <w:r>
              <w:rPr>
                <w:szCs w:val="24"/>
              </w:rPr>
              <w:t>Benefits</w:t>
            </w:r>
          </w:p>
        </w:tc>
        <w:tc>
          <w:tcPr>
            <w:tcW w:w="2126" w:type="dxa"/>
          </w:tcPr>
          <w:p w:rsidR="00CE58F0" w:rsidRDefault="00CE58F0" w:rsidP="00413B8D">
            <w:pPr>
              <w:tabs>
                <w:tab w:val="left" w:pos="1026"/>
              </w:tabs>
              <w:spacing w:after="120"/>
              <w:jc w:val="center"/>
              <w:rPr>
                <w:szCs w:val="24"/>
              </w:rPr>
            </w:pPr>
          </w:p>
          <w:p w:rsidR="00CE58F0" w:rsidRPr="009643EB" w:rsidRDefault="00CE58F0" w:rsidP="00413B8D">
            <w:pPr>
              <w:tabs>
                <w:tab w:val="left" w:pos="1026"/>
              </w:tabs>
              <w:spacing w:after="120"/>
              <w:jc w:val="center"/>
              <w:rPr>
                <w:szCs w:val="24"/>
              </w:rPr>
            </w:pPr>
            <w:r>
              <w:rPr>
                <w:szCs w:val="24"/>
              </w:rPr>
              <w:t>7</w:t>
            </w:r>
          </w:p>
        </w:tc>
        <w:tc>
          <w:tcPr>
            <w:tcW w:w="1559" w:type="dxa"/>
            <w:tcBorders>
              <w:top w:val="single" w:sz="18" w:space="0" w:color="auto"/>
            </w:tcBorders>
          </w:tcPr>
          <w:p w:rsidR="00CE58F0" w:rsidRDefault="00CE58F0" w:rsidP="00413B8D">
            <w:pPr>
              <w:spacing w:after="120"/>
              <w:jc w:val="right"/>
              <w:rPr>
                <w:szCs w:val="24"/>
              </w:rPr>
            </w:pPr>
          </w:p>
          <w:p w:rsidR="00CE58F0" w:rsidRPr="009643EB" w:rsidRDefault="00CE58F0" w:rsidP="00413B8D">
            <w:pPr>
              <w:spacing w:after="120"/>
              <w:jc w:val="right"/>
              <w:rPr>
                <w:szCs w:val="24"/>
              </w:rPr>
            </w:pPr>
            <w:r>
              <w:rPr>
                <w:szCs w:val="24"/>
              </w:rPr>
              <w:t>(221.1)</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top w:val="single" w:sz="18" w:space="0" w:color="auto"/>
              <w:left w:val="single" w:sz="4" w:space="0" w:color="FFFFFF" w:themeColor="background1"/>
            </w:tcBorders>
          </w:tcPr>
          <w:p w:rsidR="00CE58F0" w:rsidRDefault="00CE58F0" w:rsidP="00413B8D">
            <w:pPr>
              <w:spacing w:after="120"/>
              <w:jc w:val="right"/>
              <w:rPr>
                <w:szCs w:val="24"/>
              </w:rPr>
            </w:pPr>
          </w:p>
          <w:p w:rsidR="00CE58F0" w:rsidRDefault="00CE58F0" w:rsidP="00413B8D">
            <w:pPr>
              <w:spacing w:after="120"/>
              <w:jc w:val="right"/>
              <w:rPr>
                <w:szCs w:val="24"/>
              </w:rPr>
            </w:pPr>
            <w:r>
              <w:rPr>
                <w:szCs w:val="24"/>
              </w:rPr>
              <w:t>(210.2)</w:t>
            </w:r>
          </w:p>
        </w:tc>
      </w:tr>
      <w:tr w:rsidR="00CE58F0" w:rsidRPr="009643EB" w:rsidTr="00413B8D">
        <w:tc>
          <w:tcPr>
            <w:tcW w:w="4208" w:type="dxa"/>
          </w:tcPr>
          <w:p w:rsidR="00CE58F0" w:rsidRDefault="00CE58F0" w:rsidP="00413B8D">
            <w:pPr>
              <w:spacing w:after="120"/>
              <w:rPr>
                <w:szCs w:val="24"/>
              </w:rPr>
            </w:pPr>
            <w:r>
              <w:rPr>
                <w:szCs w:val="24"/>
              </w:rPr>
              <w:t>Payments to and on account of leavers</w:t>
            </w:r>
          </w:p>
          <w:p w:rsidR="00CE58F0" w:rsidRDefault="00CE58F0" w:rsidP="00413B8D">
            <w:pPr>
              <w:spacing w:after="120"/>
              <w:rPr>
                <w:szCs w:val="24"/>
              </w:rPr>
            </w:pPr>
            <w:r>
              <w:rPr>
                <w:szCs w:val="24"/>
              </w:rPr>
              <w:t xml:space="preserve">Administrative expenses       </w:t>
            </w:r>
          </w:p>
          <w:p w:rsidR="00CE58F0" w:rsidRDefault="00CE58F0" w:rsidP="00413B8D">
            <w:pPr>
              <w:spacing w:after="120"/>
              <w:rPr>
                <w:szCs w:val="24"/>
              </w:rPr>
            </w:pPr>
          </w:p>
        </w:tc>
        <w:tc>
          <w:tcPr>
            <w:tcW w:w="2126" w:type="dxa"/>
          </w:tcPr>
          <w:p w:rsidR="00CE58F0" w:rsidRDefault="00CE58F0" w:rsidP="00413B8D">
            <w:pPr>
              <w:tabs>
                <w:tab w:val="left" w:pos="1026"/>
              </w:tabs>
              <w:spacing w:after="120"/>
              <w:jc w:val="center"/>
              <w:rPr>
                <w:szCs w:val="24"/>
              </w:rPr>
            </w:pPr>
            <w:r>
              <w:rPr>
                <w:szCs w:val="24"/>
              </w:rPr>
              <w:t>8</w:t>
            </w:r>
          </w:p>
          <w:p w:rsidR="00CE58F0" w:rsidRDefault="00CE58F0" w:rsidP="00413B8D">
            <w:pPr>
              <w:tabs>
                <w:tab w:val="left" w:pos="1026"/>
              </w:tabs>
              <w:spacing w:after="120"/>
              <w:jc w:val="center"/>
              <w:rPr>
                <w:szCs w:val="24"/>
              </w:rPr>
            </w:pPr>
          </w:p>
          <w:p w:rsidR="00CE58F0" w:rsidRPr="009643EB" w:rsidRDefault="00CE58F0" w:rsidP="00413B8D">
            <w:pPr>
              <w:tabs>
                <w:tab w:val="left" w:pos="1026"/>
              </w:tabs>
              <w:spacing w:after="120"/>
              <w:jc w:val="center"/>
              <w:rPr>
                <w:szCs w:val="24"/>
              </w:rPr>
            </w:pPr>
            <w:r>
              <w:rPr>
                <w:szCs w:val="24"/>
              </w:rPr>
              <w:t>9</w:t>
            </w:r>
          </w:p>
        </w:tc>
        <w:tc>
          <w:tcPr>
            <w:tcW w:w="1559" w:type="dxa"/>
            <w:tcBorders>
              <w:bottom w:val="single" w:sz="18" w:space="0" w:color="auto"/>
            </w:tcBorders>
          </w:tcPr>
          <w:p w:rsidR="00CE58F0" w:rsidRDefault="00CE58F0" w:rsidP="00413B8D">
            <w:pPr>
              <w:jc w:val="right"/>
              <w:rPr>
                <w:szCs w:val="24"/>
              </w:rPr>
            </w:pPr>
            <w:r>
              <w:rPr>
                <w:szCs w:val="24"/>
              </w:rPr>
              <w:t>(15.3)</w:t>
            </w:r>
          </w:p>
          <w:p w:rsidR="00CE58F0" w:rsidRDefault="00CE58F0" w:rsidP="00413B8D">
            <w:pPr>
              <w:jc w:val="right"/>
              <w:rPr>
                <w:szCs w:val="24"/>
              </w:rPr>
            </w:pPr>
          </w:p>
          <w:p w:rsidR="00CE58F0" w:rsidRDefault="00CE58F0" w:rsidP="00413B8D">
            <w:pPr>
              <w:jc w:val="right"/>
              <w:rPr>
                <w:szCs w:val="24"/>
              </w:rPr>
            </w:pPr>
          </w:p>
          <w:p w:rsidR="00CE58F0" w:rsidRDefault="00CE58F0" w:rsidP="00413B8D">
            <w:pPr>
              <w:jc w:val="right"/>
              <w:rPr>
                <w:szCs w:val="24"/>
              </w:rPr>
            </w:pPr>
            <w:r>
              <w:rPr>
                <w:szCs w:val="24"/>
              </w:rPr>
              <w:t>(4.5)</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bottom w:val="single" w:sz="18" w:space="0" w:color="auto"/>
            </w:tcBorders>
          </w:tcPr>
          <w:p w:rsidR="00CE58F0" w:rsidRDefault="00CE58F0" w:rsidP="00413B8D">
            <w:pPr>
              <w:jc w:val="right"/>
              <w:rPr>
                <w:szCs w:val="24"/>
              </w:rPr>
            </w:pPr>
            <w:r>
              <w:rPr>
                <w:szCs w:val="24"/>
              </w:rPr>
              <w:t>(12.6)</w:t>
            </w:r>
          </w:p>
          <w:p w:rsidR="00CE58F0" w:rsidRDefault="00CE58F0" w:rsidP="00413B8D">
            <w:pPr>
              <w:jc w:val="right"/>
              <w:rPr>
                <w:szCs w:val="24"/>
              </w:rPr>
            </w:pPr>
          </w:p>
          <w:p w:rsidR="00CE58F0" w:rsidRDefault="00CE58F0" w:rsidP="00413B8D">
            <w:pPr>
              <w:jc w:val="right"/>
              <w:rPr>
                <w:szCs w:val="24"/>
              </w:rPr>
            </w:pPr>
          </w:p>
          <w:p w:rsidR="00CE58F0" w:rsidRDefault="00CE58F0" w:rsidP="00413B8D">
            <w:pPr>
              <w:jc w:val="right"/>
              <w:rPr>
                <w:szCs w:val="24"/>
              </w:rPr>
            </w:pPr>
            <w:r>
              <w:rPr>
                <w:szCs w:val="24"/>
              </w:rPr>
              <w:t>(5.0)</w:t>
            </w:r>
          </w:p>
        </w:tc>
      </w:tr>
      <w:tr w:rsidR="00CE58F0" w:rsidRPr="009643EB" w:rsidTr="00413B8D">
        <w:tc>
          <w:tcPr>
            <w:tcW w:w="4208" w:type="dxa"/>
          </w:tcPr>
          <w:p w:rsidR="00CE58F0" w:rsidRDefault="00CE58F0" w:rsidP="00413B8D">
            <w:pPr>
              <w:spacing w:after="120"/>
              <w:rPr>
                <w:szCs w:val="24"/>
              </w:rPr>
            </w:pPr>
          </w:p>
        </w:tc>
        <w:tc>
          <w:tcPr>
            <w:tcW w:w="2126" w:type="dxa"/>
          </w:tcPr>
          <w:p w:rsidR="00CE58F0" w:rsidRDefault="00CE58F0" w:rsidP="00413B8D">
            <w:pPr>
              <w:spacing w:after="120"/>
              <w:jc w:val="right"/>
              <w:rPr>
                <w:szCs w:val="24"/>
              </w:rPr>
            </w:pPr>
          </w:p>
        </w:tc>
        <w:tc>
          <w:tcPr>
            <w:tcW w:w="1559" w:type="dxa"/>
            <w:tcBorders>
              <w:top w:val="single" w:sz="18" w:space="0" w:color="auto"/>
              <w:bottom w:val="single" w:sz="18" w:space="0" w:color="auto"/>
            </w:tcBorders>
          </w:tcPr>
          <w:p w:rsidR="00CE58F0" w:rsidRDefault="00CE58F0" w:rsidP="00413B8D">
            <w:pPr>
              <w:spacing w:after="120"/>
              <w:jc w:val="right"/>
              <w:rPr>
                <w:szCs w:val="24"/>
              </w:rPr>
            </w:pPr>
            <w:r>
              <w:rPr>
                <w:szCs w:val="24"/>
              </w:rPr>
              <w:t>(240.9)</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top w:val="single" w:sz="18" w:space="0" w:color="auto"/>
              <w:left w:val="single" w:sz="4" w:space="0" w:color="FFFFFF" w:themeColor="background1"/>
              <w:bottom w:val="single" w:sz="18" w:space="0" w:color="auto"/>
            </w:tcBorders>
          </w:tcPr>
          <w:p w:rsidR="00CE58F0" w:rsidRDefault="00CE58F0" w:rsidP="00413B8D">
            <w:pPr>
              <w:spacing w:after="120"/>
              <w:jc w:val="right"/>
              <w:rPr>
                <w:szCs w:val="24"/>
              </w:rPr>
            </w:pPr>
            <w:r>
              <w:rPr>
                <w:szCs w:val="24"/>
              </w:rPr>
              <w:t>(227.8)</w:t>
            </w:r>
          </w:p>
        </w:tc>
      </w:tr>
      <w:tr w:rsidR="00CE58F0" w:rsidRPr="005364C6" w:rsidTr="00413B8D">
        <w:tc>
          <w:tcPr>
            <w:tcW w:w="4208" w:type="dxa"/>
          </w:tcPr>
          <w:p w:rsidR="00CE58F0" w:rsidRPr="005364C6" w:rsidRDefault="00CE58F0" w:rsidP="00413B8D">
            <w:pPr>
              <w:spacing w:before="120"/>
              <w:rPr>
                <w:b/>
                <w:szCs w:val="24"/>
              </w:rPr>
            </w:pPr>
            <w:r w:rsidRPr="005364C6">
              <w:rPr>
                <w:b/>
                <w:szCs w:val="24"/>
              </w:rPr>
              <w:t xml:space="preserve">Net </w:t>
            </w:r>
            <w:r>
              <w:rPr>
                <w:b/>
                <w:szCs w:val="24"/>
              </w:rPr>
              <w:t>withdrawals</w:t>
            </w:r>
            <w:r w:rsidRPr="005364C6">
              <w:rPr>
                <w:b/>
                <w:szCs w:val="24"/>
              </w:rPr>
              <w:t xml:space="preserve"> from dealings with members</w:t>
            </w:r>
          </w:p>
        </w:tc>
        <w:tc>
          <w:tcPr>
            <w:tcW w:w="2126" w:type="dxa"/>
          </w:tcPr>
          <w:p w:rsidR="00CE58F0" w:rsidRPr="005364C6" w:rsidRDefault="00CE58F0" w:rsidP="00413B8D">
            <w:pPr>
              <w:spacing w:before="120"/>
              <w:jc w:val="right"/>
              <w:rPr>
                <w:b/>
                <w:szCs w:val="24"/>
              </w:rPr>
            </w:pPr>
          </w:p>
        </w:tc>
        <w:tc>
          <w:tcPr>
            <w:tcW w:w="1559" w:type="dxa"/>
            <w:tcBorders>
              <w:top w:val="single" w:sz="18" w:space="0" w:color="auto"/>
              <w:bottom w:val="single" w:sz="18" w:space="0" w:color="auto"/>
            </w:tcBorders>
          </w:tcPr>
          <w:p w:rsidR="00CE58F0" w:rsidRDefault="00CE58F0" w:rsidP="00413B8D">
            <w:pPr>
              <w:spacing w:before="120"/>
              <w:jc w:val="right"/>
              <w:rPr>
                <w:b/>
                <w:szCs w:val="24"/>
              </w:rPr>
            </w:pPr>
            <w:r>
              <w:rPr>
                <w:b/>
                <w:szCs w:val="24"/>
              </w:rPr>
              <w:t>(19.8)</w:t>
            </w:r>
          </w:p>
        </w:tc>
        <w:tc>
          <w:tcPr>
            <w:tcW w:w="430" w:type="dxa"/>
            <w:tcBorders>
              <w:right w:val="single" w:sz="4" w:space="0" w:color="FFFFFF" w:themeColor="background1"/>
            </w:tcBorders>
          </w:tcPr>
          <w:p w:rsidR="00CE58F0" w:rsidRPr="005364C6" w:rsidRDefault="00CE58F0" w:rsidP="00413B8D">
            <w:pPr>
              <w:spacing w:before="120"/>
              <w:jc w:val="right"/>
              <w:rPr>
                <w:b/>
                <w:szCs w:val="24"/>
              </w:rPr>
            </w:pPr>
          </w:p>
        </w:tc>
        <w:tc>
          <w:tcPr>
            <w:tcW w:w="1555" w:type="dxa"/>
            <w:tcBorders>
              <w:top w:val="single" w:sz="18" w:space="0" w:color="auto"/>
              <w:left w:val="single" w:sz="4" w:space="0" w:color="FFFFFF" w:themeColor="background1"/>
              <w:bottom w:val="single" w:sz="18" w:space="0" w:color="auto"/>
            </w:tcBorders>
          </w:tcPr>
          <w:p w:rsidR="00CE58F0" w:rsidRPr="005364C6" w:rsidRDefault="00CE58F0" w:rsidP="00413B8D">
            <w:pPr>
              <w:spacing w:before="120"/>
              <w:jc w:val="right"/>
              <w:rPr>
                <w:b/>
                <w:szCs w:val="24"/>
              </w:rPr>
            </w:pPr>
            <w:r>
              <w:rPr>
                <w:b/>
                <w:szCs w:val="24"/>
              </w:rPr>
              <w:t>(</w:t>
            </w:r>
            <w:r w:rsidRPr="005364C6">
              <w:rPr>
                <w:b/>
                <w:szCs w:val="24"/>
              </w:rPr>
              <w:t>1</w:t>
            </w:r>
            <w:r>
              <w:rPr>
                <w:b/>
                <w:szCs w:val="24"/>
              </w:rPr>
              <w:t>5</w:t>
            </w:r>
            <w:r w:rsidRPr="005364C6">
              <w:rPr>
                <w:b/>
                <w:szCs w:val="24"/>
              </w:rPr>
              <w:t>.</w:t>
            </w:r>
            <w:r>
              <w:rPr>
                <w:b/>
                <w:szCs w:val="24"/>
              </w:rPr>
              <w:t>2)</w:t>
            </w:r>
          </w:p>
        </w:tc>
      </w:tr>
    </w:tbl>
    <w:p w:rsidR="00CE58F0" w:rsidRDefault="00CE58F0" w:rsidP="00CE58F0"/>
    <w:p w:rsidR="00CE58F0" w:rsidRDefault="00CE58F0" w:rsidP="00CE58F0"/>
    <w:p w:rsidR="00CE58F0" w:rsidRDefault="00CE58F0" w:rsidP="00CE58F0"/>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2062"/>
        <w:gridCol w:w="1531"/>
        <w:gridCol w:w="422"/>
        <w:gridCol w:w="1526"/>
      </w:tblGrid>
      <w:tr w:rsidR="00CE58F0" w:rsidRPr="009643EB" w:rsidTr="00413B8D">
        <w:tc>
          <w:tcPr>
            <w:tcW w:w="4208" w:type="dxa"/>
          </w:tcPr>
          <w:p w:rsidR="00CE58F0" w:rsidRDefault="00CE58F0" w:rsidP="00413B8D">
            <w:pPr>
              <w:spacing w:after="120"/>
              <w:rPr>
                <w:b/>
                <w:szCs w:val="24"/>
              </w:rPr>
            </w:pPr>
            <w:r>
              <w:rPr>
                <w:b/>
                <w:szCs w:val="24"/>
              </w:rPr>
              <w:t>Return on investments</w:t>
            </w:r>
          </w:p>
        </w:tc>
        <w:tc>
          <w:tcPr>
            <w:tcW w:w="2126" w:type="dxa"/>
          </w:tcPr>
          <w:p w:rsidR="00CE58F0" w:rsidRPr="009643EB" w:rsidRDefault="00CE58F0" w:rsidP="00413B8D">
            <w:pPr>
              <w:spacing w:after="120"/>
              <w:jc w:val="right"/>
              <w:rPr>
                <w:szCs w:val="24"/>
              </w:rPr>
            </w:pPr>
          </w:p>
        </w:tc>
        <w:tc>
          <w:tcPr>
            <w:tcW w:w="1559" w:type="dxa"/>
          </w:tcPr>
          <w:p w:rsidR="00CE58F0" w:rsidRPr="009643EB" w:rsidRDefault="00CE58F0" w:rsidP="00413B8D">
            <w:pPr>
              <w:spacing w:after="120"/>
              <w:jc w:val="right"/>
              <w:rPr>
                <w:szCs w:val="24"/>
              </w:rPr>
            </w:pP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Pr="009643EB" w:rsidRDefault="00CE58F0" w:rsidP="00413B8D">
            <w:pPr>
              <w:spacing w:after="120"/>
              <w:jc w:val="right"/>
              <w:rPr>
                <w:szCs w:val="24"/>
              </w:rPr>
            </w:pPr>
          </w:p>
        </w:tc>
      </w:tr>
      <w:tr w:rsidR="00CE58F0" w:rsidRPr="009643EB" w:rsidTr="00413B8D">
        <w:tc>
          <w:tcPr>
            <w:tcW w:w="4208" w:type="dxa"/>
          </w:tcPr>
          <w:p w:rsidR="00CE58F0" w:rsidRPr="009643EB" w:rsidRDefault="00CE58F0" w:rsidP="00413B8D">
            <w:pPr>
              <w:spacing w:after="120"/>
              <w:rPr>
                <w:szCs w:val="24"/>
              </w:rPr>
            </w:pPr>
            <w:r>
              <w:rPr>
                <w:szCs w:val="24"/>
              </w:rPr>
              <w:t>Investment income</w:t>
            </w:r>
          </w:p>
        </w:tc>
        <w:tc>
          <w:tcPr>
            <w:tcW w:w="2126" w:type="dxa"/>
          </w:tcPr>
          <w:p w:rsidR="00CE58F0" w:rsidRPr="009643EB" w:rsidRDefault="00CE58F0" w:rsidP="00413B8D">
            <w:pPr>
              <w:tabs>
                <w:tab w:val="left" w:pos="1026"/>
              </w:tabs>
              <w:spacing w:after="120"/>
              <w:jc w:val="center"/>
              <w:rPr>
                <w:szCs w:val="24"/>
              </w:rPr>
            </w:pPr>
            <w:r>
              <w:rPr>
                <w:szCs w:val="24"/>
              </w:rPr>
              <w:t>10</w:t>
            </w:r>
          </w:p>
        </w:tc>
        <w:tc>
          <w:tcPr>
            <w:tcW w:w="1559" w:type="dxa"/>
          </w:tcPr>
          <w:p w:rsidR="00CE58F0" w:rsidRDefault="00CE58F0" w:rsidP="00413B8D">
            <w:pPr>
              <w:spacing w:after="120"/>
              <w:jc w:val="right"/>
              <w:rPr>
                <w:szCs w:val="24"/>
              </w:rPr>
            </w:pPr>
            <w:r>
              <w:rPr>
                <w:szCs w:val="24"/>
              </w:rPr>
              <w:t>105.3</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Default="00CE58F0" w:rsidP="00413B8D">
            <w:pPr>
              <w:spacing w:after="120"/>
              <w:jc w:val="right"/>
              <w:rPr>
                <w:szCs w:val="24"/>
              </w:rPr>
            </w:pPr>
            <w:r>
              <w:rPr>
                <w:szCs w:val="24"/>
              </w:rPr>
              <w:t>120.8</w:t>
            </w:r>
          </w:p>
        </w:tc>
      </w:tr>
      <w:tr w:rsidR="00CE58F0" w:rsidRPr="009643EB" w:rsidTr="00413B8D">
        <w:tc>
          <w:tcPr>
            <w:tcW w:w="4208" w:type="dxa"/>
          </w:tcPr>
          <w:p w:rsidR="00CE58F0" w:rsidRDefault="00CE58F0" w:rsidP="00413B8D">
            <w:pPr>
              <w:spacing w:after="120"/>
              <w:rPr>
                <w:szCs w:val="24"/>
              </w:rPr>
            </w:pPr>
            <w:r>
              <w:rPr>
                <w:szCs w:val="24"/>
              </w:rPr>
              <w:t>Profit and loss on disposal of investments and change in market value of investments</w:t>
            </w:r>
          </w:p>
        </w:tc>
        <w:tc>
          <w:tcPr>
            <w:tcW w:w="2126" w:type="dxa"/>
          </w:tcPr>
          <w:p w:rsidR="00CE58F0" w:rsidRPr="009643EB" w:rsidRDefault="00CE58F0" w:rsidP="00413B8D">
            <w:pPr>
              <w:tabs>
                <w:tab w:val="left" w:pos="1026"/>
              </w:tabs>
              <w:spacing w:after="120"/>
              <w:jc w:val="center"/>
              <w:rPr>
                <w:szCs w:val="24"/>
              </w:rPr>
            </w:pPr>
            <w:r w:rsidRPr="00440AB3">
              <w:rPr>
                <w:szCs w:val="24"/>
              </w:rPr>
              <w:t>1</w:t>
            </w:r>
            <w:r>
              <w:rPr>
                <w:szCs w:val="24"/>
              </w:rPr>
              <w:t>3</w:t>
            </w:r>
          </w:p>
        </w:tc>
        <w:tc>
          <w:tcPr>
            <w:tcW w:w="1559" w:type="dxa"/>
          </w:tcPr>
          <w:p w:rsidR="00CE58F0" w:rsidRPr="009643EB" w:rsidRDefault="00CE58F0" w:rsidP="00413B8D">
            <w:pPr>
              <w:spacing w:after="120"/>
              <w:jc w:val="right"/>
              <w:rPr>
                <w:szCs w:val="24"/>
              </w:rPr>
            </w:pPr>
            <w:r>
              <w:rPr>
                <w:szCs w:val="24"/>
              </w:rPr>
              <w:t>102.9</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Default="00CE58F0" w:rsidP="00413B8D">
            <w:pPr>
              <w:spacing w:after="120"/>
              <w:jc w:val="right"/>
              <w:rPr>
                <w:szCs w:val="24"/>
              </w:rPr>
            </w:pPr>
            <w:r>
              <w:rPr>
                <w:szCs w:val="24"/>
              </w:rPr>
              <w:t>532.6</w:t>
            </w:r>
          </w:p>
        </w:tc>
      </w:tr>
      <w:tr w:rsidR="00CE58F0" w:rsidRPr="009643EB" w:rsidTr="00413B8D">
        <w:tc>
          <w:tcPr>
            <w:tcW w:w="4208" w:type="dxa"/>
          </w:tcPr>
          <w:p w:rsidR="00CE58F0" w:rsidRDefault="00CE58F0" w:rsidP="00413B8D">
            <w:pPr>
              <w:spacing w:after="120"/>
              <w:rPr>
                <w:szCs w:val="24"/>
              </w:rPr>
            </w:pPr>
            <w:r>
              <w:rPr>
                <w:szCs w:val="24"/>
              </w:rPr>
              <w:t>Investment management expenses</w:t>
            </w:r>
          </w:p>
        </w:tc>
        <w:tc>
          <w:tcPr>
            <w:tcW w:w="2126" w:type="dxa"/>
          </w:tcPr>
          <w:p w:rsidR="00CE58F0" w:rsidRDefault="00CE58F0" w:rsidP="00413B8D">
            <w:pPr>
              <w:tabs>
                <w:tab w:val="left" w:pos="1026"/>
              </w:tabs>
              <w:spacing w:after="120"/>
              <w:jc w:val="center"/>
              <w:rPr>
                <w:szCs w:val="24"/>
              </w:rPr>
            </w:pPr>
            <w:r>
              <w:rPr>
                <w:szCs w:val="24"/>
              </w:rPr>
              <w:t>19</w:t>
            </w:r>
          </w:p>
        </w:tc>
        <w:tc>
          <w:tcPr>
            <w:tcW w:w="1559" w:type="dxa"/>
            <w:tcBorders>
              <w:bottom w:val="single" w:sz="18" w:space="0" w:color="auto"/>
            </w:tcBorders>
          </w:tcPr>
          <w:p w:rsidR="00CE58F0" w:rsidRDefault="00CE58F0" w:rsidP="00413B8D">
            <w:pPr>
              <w:spacing w:after="120"/>
              <w:jc w:val="right"/>
              <w:rPr>
                <w:szCs w:val="24"/>
              </w:rPr>
            </w:pPr>
            <w:r>
              <w:rPr>
                <w:szCs w:val="24"/>
              </w:rPr>
              <w:t>(</w:t>
            </w:r>
            <w:r w:rsidRPr="00495E58">
              <w:rPr>
                <w:szCs w:val="24"/>
              </w:rPr>
              <w:t>1</w:t>
            </w:r>
            <w:r>
              <w:rPr>
                <w:szCs w:val="24"/>
              </w:rPr>
              <w:t>1</w:t>
            </w:r>
            <w:r w:rsidRPr="00495E58">
              <w:rPr>
                <w:szCs w:val="24"/>
              </w:rPr>
              <w:t>.</w:t>
            </w:r>
            <w:r>
              <w:rPr>
                <w:szCs w:val="24"/>
              </w:rPr>
              <w:t>3)</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bottom w:val="single" w:sz="18" w:space="0" w:color="auto"/>
            </w:tcBorders>
          </w:tcPr>
          <w:p w:rsidR="00CE58F0" w:rsidRDefault="00CE58F0" w:rsidP="00413B8D">
            <w:pPr>
              <w:spacing w:after="120"/>
              <w:jc w:val="right"/>
              <w:rPr>
                <w:szCs w:val="24"/>
              </w:rPr>
            </w:pPr>
            <w:r>
              <w:rPr>
                <w:szCs w:val="24"/>
              </w:rPr>
              <w:t>(7.2)</w:t>
            </w:r>
          </w:p>
        </w:tc>
      </w:tr>
      <w:tr w:rsidR="00CE58F0" w:rsidRPr="009643EB" w:rsidTr="00413B8D">
        <w:tc>
          <w:tcPr>
            <w:tcW w:w="4208" w:type="dxa"/>
          </w:tcPr>
          <w:p w:rsidR="00CE58F0" w:rsidRPr="0090717E" w:rsidRDefault="00CE58F0" w:rsidP="00413B8D">
            <w:pPr>
              <w:spacing w:after="120"/>
              <w:rPr>
                <w:b/>
                <w:szCs w:val="24"/>
              </w:rPr>
            </w:pPr>
            <w:r w:rsidRPr="0090717E">
              <w:rPr>
                <w:b/>
                <w:szCs w:val="24"/>
              </w:rPr>
              <w:t>Net return on investments</w:t>
            </w:r>
          </w:p>
        </w:tc>
        <w:tc>
          <w:tcPr>
            <w:tcW w:w="2126" w:type="dxa"/>
          </w:tcPr>
          <w:p w:rsidR="00CE58F0" w:rsidRPr="0090717E" w:rsidRDefault="00CE58F0" w:rsidP="00413B8D">
            <w:pPr>
              <w:spacing w:after="120"/>
              <w:jc w:val="right"/>
              <w:rPr>
                <w:b/>
                <w:szCs w:val="24"/>
              </w:rPr>
            </w:pPr>
          </w:p>
        </w:tc>
        <w:tc>
          <w:tcPr>
            <w:tcW w:w="1559" w:type="dxa"/>
            <w:tcBorders>
              <w:top w:val="single" w:sz="18" w:space="0" w:color="auto"/>
              <w:bottom w:val="single" w:sz="18" w:space="0" w:color="auto"/>
            </w:tcBorders>
          </w:tcPr>
          <w:p w:rsidR="00CE58F0" w:rsidRDefault="00CE58F0" w:rsidP="00413B8D">
            <w:pPr>
              <w:spacing w:after="120"/>
              <w:jc w:val="right"/>
              <w:rPr>
                <w:b/>
                <w:szCs w:val="24"/>
              </w:rPr>
            </w:pPr>
            <w:r>
              <w:rPr>
                <w:b/>
                <w:szCs w:val="24"/>
              </w:rPr>
              <w:t>196.9</w:t>
            </w:r>
          </w:p>
        </w:tc>
        <w:tc>
          <w:tcPr>
            <w:tcW w:w="430" w:type="dxa"/>
            <w:tcBorders>
              <w:right w:val="single" w:sz="4" w:space="0" w:color="FFFFFF" w:themeColor="background1"/>
            </w:tcBorders>
          </w:tcPr>
          <w:p w:rsidR="00CE58F0" w:rsidRPr="0090717E" w:rsidRDefault="00CE58F0" w:rsidP="00413B8D">
            <w:pPr>
              <w:spacing w:after="120"/>
              <w:jc w:val="right"/>
              <w:rPr>
                <w:b/>
                <w:szCs w:val="24"/>
              </w:rPr>
            </w:pPr>
          </w:p>
        </w:tc>
        <w:tc>
          <w:tcPr>
            <w:tcW w:w="1555" w:type="dxa"/>
            <w:tcBorders>
              <w:top w:val="single" w:sz="18" w:space="0" w:color="auto"/>
              <w:left w:val="single" w:sz="4" w:space="0" w:color="FFFFFF" w:themeColor="background1"/>
              <w:bottom w:val="single" w:sz="18" w:space="0" w:color="auto"/>
            </w:tcBorders>
          </w:tcPr>
          <w:p w:rsidR="00CE58F0" w:rsidRPr="0090717E" w:rsidRDefault="00CE58F0" w:rsidP="00413B8D">
            <w:pPr>
              <w:spacing w:after="120"/>
              <w:jc w:val="right"/>
              <w:rPr>
                <w:b/>
                <w:szCs w:val="24"/>
              </w:rPr>
            </w:pPr>
            <w:r>
              <w:rPr>
                <w:b/>
                <w:szCs w:val="24"/>
              </w:rPr>
              <w:t>646.2</w:t>
            </w:r>
          </w:p>
        </w:tc>
      </w:tr>
      <w:tr w:rsidR="00CE58F0" w:rsidRPr="009643EB" w:rsidTr="00413B8D">
        <w:tc>
          <w:tcPr>
            <w:tcW w:w="4208" w:type="dxa"/>
          </w:tcPr>
          <w:p w:rsidR="00CE58F0" w:rsidRPr="0090717E" w:rsidRDefault="00CE58F0" w:rsidP="00413B8D">
            <w:pPr>
              <w:spacing w:before="120"/>
              <w:rPr>
                <w:b/>
                <w:szCs w:val="24"/>
              </w:rPr>
            </w:pPr>
            <w:r w:rsidRPr="0090717E">
              <w:rPr>
                <w:b/>
                <w:szCs w:val="24"/>
              </w:rPr>
              <w:t xml:space="preserve">Net increase (decrease) in the </w:t>
            </w:r>
            <w:r>
              <w:rPr>
                <w:b/>
                <w:szCs w:val="24"/>
              </w:rPr>
              <w:t>net assets available for benefits during the year</w:t>
            </w:r>
          </w:p>
        </w:tc>
        <w:tc>
          <w:tcPr>
            <w:tcW w:w="2126" w:type="dxa"/>
          </w:tcPr>
          <w:p w:rsidR="00CE58F0" w:rsidRPr="0090717E" w:rsidRDefault="00CE58F0" w:rsidP="00413B8D">
            <w:pPr>
              <w:spacing w:before="120"/>
              <w:jc w:val="right"/>
              <w:rPr>
                <w:b/>
                <w:szCs w:val="24"/>
              </w:rPr>
            </w:pPr>
          </w:p>
        </w:tc>
        <w:tc>
          <w:tcPr>
            <w:tcW w:w="1559" w:type="dxa"/>
            <w:tcBorders>
              <w:top w:val="single" w:sz="18" w:space="0" w:color="auto"/>
              <w:bottom w:val="double" w:sz="12" w:space="0" w:color="auto"/>
            </w:tcBorders>
          </w:tcPr>
          <w:p w:rsidR="00CE58F0" w:rsidRPr="0090717E" w:rsidRDefault="00CE58F0" w:rsidP="00413B8D">
            <w:pPr>
              <w:spacing w:before="120"/>
              <w:jc w:val="right"/>
              <w:rPr>
                <w:b/>
                <w:szCs w:val="24"/>
              </w:rPr>
            </w:pPr>
            <w:r>
              <w:rPr>
                <w:b/>
                <w:szCs w:val="24"/>
              </w:rPr>
              <w:t>177.1</w:t>
            </w:r>
          </w:p>
        </w:tc>
        <w:tc>
          <w:tcPr>
            <w:tcW w:w="430" w:type="dxa"/>
            <w:tcBorders>
              <w:right w:val="single" w:sz="4" w:space="0" w:color="FFFFFF" w:themeColor="background1"/>
            </w:tcBorders>
          </w:tcPr>
          <w:p w:rsidR="00CE58F0" w:rsidRPr="0090717E" w:rsidRDefault="00CE58F0" w:rsidP="00413B8D">
            <w:pPr>
              <w:spacing w:before="120"/>
              <w:jc w:val="right"/>
              <w:rPr>
                <w:b/>
                <w:szCs w:val="24"/>
              </w:rPr>
            </w:pPr>
          </w:p>
        </w:tc>
        <w:tc>
          <w:tcPr>
            <w:tcW w:w="1555" w:type="dxa"/>
            <w:tcBorders>
              <w:top w:val="single" w:sz="18" w:space="0" w:color="auto"/>
              <w:left w:val="single" w:sz="4" w:space="0" w:color="FFFFFF" w:themeColor="background1"/>
              <w:bottom w:val="double" w:sz="12" w:space="0" w:color="auto"/>
            </w:tcBorders>
          </w:tcPr>
          <w:p w:rsidR="00CE58F0" w:rsidRPr="0090717E" w:rsidRDefault="00CE58F0" w:rsidP="00413B8D">
            <w:pPr>
              <w:spacing w:before="120"/>
              <w:jc w:val="right"/>
              <w:rPr>
                <w:b/>
                <w:szCs w:val="24"/>
              </w:rPr>
            </w:pPr>
            <w:r>
              <w:rPr>
                <w:b/>
                <w:szCs w:val="24"/>
              </w:rPr>
              <w:t>631.0</w:t>
            </w:r>
          </w:p>
        </w:tc>
      </w:tr>
    </w:tbl>
    <w:p w:rsidR="00CE58F0" w:rsidRDefault="00CE58F0" w:rsidP="00CE58F0"/>
    <w:p w:rsidR="00CE58F0" w:rsidRDefault="00CE58F0" w:rsidP="00CE58F0">
      <w:pPr>
        <w:pStyle w:val="Heading5"/>
        <w:spacing w:line="360" w:lineRule="auto"/>
        <w:jc w:val="center"/>
        <w:rPr>
          <w:szCs w:val="24"/>
        </w:rPr>
      </w:pPr>
    </w:p>
    <w:p w:rsidR="00CE58F0" w:rsidRDefault="00CE58F0" w:rsidP="00CE58F0">
      <w:pPr>
        <w:pStyle w:val="Heading5"/>
        <w:spacing w:line="360" w:lineRule="auto"/>
        <w:jc w:val="center"/>
        <w:rPr>
          <w:szCs w:val="24"/>
        </w:rPr>
      </w:pPr>
      <w:r>
        <w:rPr>
          <w:szCs w:val="24"/>
        </w:rPr>
        <w:br w:type="page"/>
      </w:r>
    </w:p>
    <w:p w:rsidR="00CE58F0" w:rsidRDefault="00CE58F0" w:rsidP="00CE58F0">
      <w:pPr>
        <w:pStyle w:val="Heading5"/>
        <w:spacing w:line="360" w:lineRule="auto"/>
        <w:jc w:val="center"/>
        <w:rPr>
          <w:szCs w:val="24"/>
        </w:rPr>
      </w:pPr>
    </w:p>
    <w:p w:rsidR="00CE58F0" w:rsidRDefault="00CE58F0" w:rsidP="00CE58F0">
      <w:pPr>
        <w:pStyle w:val="Heading5"/>
        <w:spacing w:line="360" w:lineRule="auto"/>
        <w:jc w:val="center"/>
        <w:rPr>
          <w:rFonts w:ascii="Arial" w:hAnsi="Arial"/>
          <w:szCs w:val="24"/>
          <w:u w:val="none"/>
        </w:rPr>
      </w:pPr>
      <w:r w:rsidRPr="00942A4F">
        <w:rPr>
          <w:rFonts w:ascii="Arial" w:hAnsi="Arial"/>
          <w:szCs w:val="24"/>
          <w:u w:val="none"/>
        </w:rPr>
        <w:t xml:space="preserve">Net Asset </w:t>
      </w:r>
      <w:r>
        <w:rPr>
          <w:rFonts w:ascii="Arial" w:hAnsi="Arial"/>
          <w:szCs w:val="24"/>
          <w:u w:val="none"/>
        </w:rPr>
        <w:t>S</w:t>
      </w:r>
      <w:r w:rsidRPr="00942A4F">
        <w:rPr>
          <w:rFonts w:ascii="Arial" w:hAnsi="Arial"/>
          <w:szCs w:val="24"/>
          <w:u w:val="none"/>
        </w:rPr>
        <w:t>tatement</w:t>
      </w:r>
    </w:p>
    <w:p w:rsidR="00CE58F0" w:rsidRDefault="00CE58F0" w:rsidP="00CE58F0"/>
    <w:p w:rsidR="00CE58F0" w:rsidRDefault="00CE58F0" w:rsidP="00CE58F0"/>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2065"/>
        <w:gridCol w:w="1541"/>
        <w:gridCol w:w="421"/>
        <w:gridCol w:w="1537"/>
      </w:tblGrid>
      <w:tr w:rsidR="00CE58F0" w:rsidTr="00413B8D">
        <w:tc>
          <w:tcPr>
            <w:tcW w:w="4208" w:type="dxa"/>
          </w:tcPr>
          <w:p w:rsidR="00CE58F0" w:rsidRDefault="00CE58F0" w:rsidP="00413B8D">
            <w:pPr>
              <w:rPr>
                <w:b/>
                <w:szCs w:val="24"/>
              </w:rPr>
            </w:pPr>
          </w:p>
          <w:p w:rsidR="00CE58F0" w:rsidRDefault="00CE58F0" w:rsidP="00413B8D">
            <w:pPr>
              <w:jc w:val="right"/>
              <w:rPr>
                <w:b/>
                <w:szCs w:val="24"/>
              </w:rPr>
            </w:pPr>
          </w:p>
        </w:tc>
        <w:tc>
          <w:tcPr>
            <w:tcW w:w="2126" w:type="dxa"/>
          </w:tcPr>
          <w:p w:rsidR="00CE58F0" w:rsidRDefault="00CE58F0" w:rsidP="00413B8D">
            <w:pPr>
              <w:rPr>
                <w:b/>
                <w:szCs w:val="24"/>
              </w:rPr>
            </w:pPr>
          </w:p>
          <w:p w:rsidR="00CE58F0" w:rsidRDefault="00CE58F0" w:rsidP="00413B8D">
            <w:pPr>
              <w:jc w:val="center"/>
              <w:rPr>
                <w:b/>
                <w:szCs w:val="24"/>
              </w:rPr>
            </w:pPr>
            <w:r>
              <w:rPr>
                <w:b/>
                <w:szCs w:val="24"/>
              </w:rPr>
              <w:t>Note</w:t>
            </w: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555"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9643EB" w:rsidTr="00413B8D">
        <w:tc>
          <w:tcPr>
            <w:tcW w:w="4208" w:type="dxa"/>
          </w:tcPr>
          <w:p w:rsidR="00CE58F0" w:rsidRPr="00614617" w:rsidRDefault="00CE58F0" w:rsidP="00413B8D">
            <w:pPr>
              <w:spacing w:after="120"/>
              <w:rPr>
                <w:szCs w:val="24"/>
              </w:rPr>
            </w:pPr>
            <w:r>
              <w:rPr>
                <w:szCs w:val="24"/>
              </w:rPr>
              <w:t>Investment assets</w:t>
            </w:r>
          </w:p>
        </w:tc>
        <w:tc>
          <w:tcPr>
            <w:tcW w:w="2126" w:type="dxa"/>
          </w:tcPr>
          <w:p w:rsidR="00CE58F0" w:rsidRPr="009643EB" w:rsidRDefault="00CE58F0" w:rsidP="00413B8D">
            <w:pPr>
              <w:tabs>
                <w:tab w:val="left" w:pos="1026"/>
              </w:tabs>
              <w:spacing w:after="120"/>
              <w:jc w:val="center"/>
              <w:rPr>
                <w:szCs w:val="24"/>
              </w:rPr>
            </w:pPr>
            <w:r>
              <w:rPr>
                <w:szCs w:val="24"/>
              </w:rPr>
              <w:t>13</w:t>
            </w:r>
          </w:p>
        </w:tc>
        <w:tc>
          <w:tcPr>
            <w:tcW w:w="1559" w:type="dxa"/>
          </w:tcPr>
          <w:p w:rsidR="00CE58F0" w:rsidRPr="009643EB" w:rsidRDefault="00CE58F0" w:rsidP="00413B8D">
            <w:pPr>
              <w:spacing w:after="120"/>
              <w:jc w:val="right"/>
              <w:rPr>
                <w:szCs w:val="24"/>
              </w:rPr>
            </w:pPr>
            <w:r>
              <w:rPr>
                <w:szCs w:val="24"/>
              </w:rPr>
              <w:t>5,192.8</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Pr="009643EB" w:rsidRDefault="00C66B6F" w:rsidP="00413B8D">
            <w:pPr>
              <w:spacing w:after="120"/>
              <w:jc w:val="right"/>
              <w:rPr>
                <w:szCs w:val="24"/>
              </w:rPr>
            </w:pPr>
            <w:r>
              <w:rPr>
                <w:szCs w:val="24"/>
              </w:rPr>
              <w:t>4,990.9</w:t>
            </w:r>
          </w:p>
        </w:tc>
      </w:tr>
      <w:tr w:rsidR="00CE58F0" w:rsidRPr="009643EB" w:rsidTr="00413B8D">
        <w:tc>
          <w:tcPr>
            <w:tcW w:w="4208" w:type="dxa"/>
          </w:tcPr>
          <w:p w:rsidR="00CE58F0" w:rsidRPr="009643EB" w:rsidRDefault="00CE58F0" w:rsidP="00413B8D">
            <w:pPr>
              <w:spacing w:after="120"/>
              <w:rPr>
                <w:szCs w:val="24"/>
              </w:rPr>
            </w:pPr>
            <w:r>
              <w:rPr>
                <w:szCs w:val="24"/>
              </w:rPr>
              <w:t>Investment liabilities</w:t>
            </w:r>
          </w:p>
        </w:tc>
        <w:tc>
          <w:tcPr>
            <w:tcW w:w="2126" w:type="dxa"/>
          </w:tcPr>
          <w:p w:rsidR="00CE58F0" w:rsidRPr="009643EB" w:rsidRDefault="00CE58F0" w:rsidP="00413B8D">
            <w:pPr>
              <w:tabs>
                <w:tab w:val="left" w:pos="1026"/>
              </w:tabs>
              <w:spacing w:after="120"/>
              <w:jc w:val="center"/>
              <w:rPr>
                <w:szCs w:val="24"/>
              </w:rPr>
            </w:pPr>
            <w:r>
              <w:rPr>
                <w:szCs w:val="24"/>
              </w:rPr>
              <w:t>13</w:t>
            </w:r>
          </w:p>
        </w:tc>
        <w:tc>
          <w:tcPr>
            <w:tcW w:w="1559" w:type="dxa"/>
          </w:tcPr>
          <w:p w:rsidR="00CE58F0" w:rsidRPr="009643EB" w:rsidRDefault="00CE58F0" w:rsidP="00413B8D">
            <w:pPr>
              <w:spacing w:after="120"/>
              <w:jc w:val="right"/>
              <w:rPr>
                <w:szCs w:val="24"/>
              </w:rPr>
            </w:pPr>
            <w:r>
              <w:rPr>
                <w:szCs w:val="24"/>
              </w:rPr>
              <w:t>(21.3)</w:t>
            </w:r>
          </w:p>
        </w:tc>
        <w:tc>
          <w:tcPr>
            <w:tcW w:w="430" w:type="dxa"/>
            <w:tcBorders>
              <w:right w:val="single" w:sz="4" w:space="0" w:color="FFFFFF" w:themeColor="background1"/>
            </w:tcBorders>
          </w:tcPr>
          <w:p w:rsidR="00CE58F0" w:rsidRPr="009643EB" w:rsidRDefault="00CE58F0" w:rsidP="00413B8D">
            <w:pPr>
              <w:spacing w:after="120"/>
              <w:jc w:val="right"/>
              <w:rPr>
                <w:szCs w:val="24"/>
              </w:rPr>
            </w:pPr>
          </w:p>
        </w:tc>
        <w:tc>
          <w:tcPr>
            <w:tcW w:w="1555" w:type="dxa"/>
            <w:tcBorders>
              <w:left w:val="single" w:sz="4" w:space="0" w:color="FFFFFF" w:themeColor="background1"/>
            </w:tcBorders>
          </w:tcPr>
          <w:p w:rsidR="00CE58F0" w:rsidRPr="009643EB" w:rsidRDefault="00C66B6F" w:rsidP="00C66B6F">
            <w:pPr>
              <w:spacing w:after="120"/>
              <w:jc w:val="center"/>
              <w:rPr>
                <w:szCs w:val="24"/>
              </w:rPr>
            </w:pPr>
            <w:r>
              <w:rPr>
                <w:szCs w:val="24"/>
              </w:rPr>
              <w:t xml:space="preserve">            (1.9)</w:t>
            </w:r>
          </w:p>
        </w:tc>
      </w:tr>
      <w:tr w:rsidR="00CE58F0" w:rsidRPr="009643EB" w:rsidTr="00413B8D">
        <w:tc>
          <w:tcPr>
            <w:tcW w:w="4208" w:type="dxa"/>
          </w:tcPr>
          <w:p w:rsidR="00CE58F0" w:rsidRDefault="00CE58F0" w:rsidP="00413B8D">
            <w:pPr>
              <w:spacing w:after="120"/>
              <w:rPr>
                <w:szCs w:val="24"/>
              </w:rPr>
            </w:pPr>
            <w:r>
              <w:rPr>
                <w:szCs w:val="24"/>
              </w:rPr>
              <w:t>Current assets</w:t>
            </w:r>
          </w:p>
        </w:tc>
        <w:tc>
          <w:tcPr>
            <w:tcW w:w="2126" w:type="dxa"/>
          </w:tcPr>
          <w:p w:rsidR="00CE58F0" w:rsidRDefault="00CE58F0" w:rsidP="00413B8D">
            <w:pPr>
              <w:tabs>
                <w:tab w:val="left" w:pos="1026"/>
              </w:tabs>
              <w:spacing w:after="120"/>
              <w:jc w:val="center"/>
              <w:rPr>
                <w:szCs w:val="24"/>
                <w:highlight w:val="yellow"/>
              </w:rPr>
            </w:pPr>
            <w:r w:rsidRPr="00440AB3">
              <w:rPr>
                <w:szCs w:val="24"/>
              </w:rPr>
              <w:t>2</w:t>
            </w:r>
            <w:r>
              <w:rPr>
                <w:szCs w:val="24"/>
              </w:rPr>
              <w:t>0</w:t>
            </w:r>
          </w:p>
        </w:tc>
        <w:tc>
          <w:tcPr>
            <w:tcW w:w="1559" w:type="dxa"/>
          </w:tcPr>
          <w:p w:rsidR="00CE58F0" w:rsidRPr="009643EB" w:rsidRDefault="00CE58F0" w:rsidP="00413B8D">
            <w:pPr>
              <w:spacing w:after="120"/>
              <w:jc w:val="right"/>
              <w:rPr>
                <w:szCs w:val="24"/>
              </w:rPr>
            </w:pPr>
            <w:r>
              <w:rPr>
                <w:szCs w:val="24"/>
              </w:rPr>
              <w:t>28.3</w:t>
            </w:r>
          </w:p>
        </w:tc>
        <w:tc>
          <w:tcPr>
            <w:tcW w:w="430" w:type="dxa"/>
            <w:tcBorders>
              <w:right w:val="single" w:sz="4" w:space="0" w:color="FFFFFF" w:themeColor="background1"/>
            </w:tcBorders>
          </w:tcPr>
          <w:p w:rsidR="00CE58F0" w:rsidRDefault="00CE58F0" w:rsidP="00413B8D">
            <w:pPr>
              <w:spacing w:after="120"/>
              <w:jc w:val="right"/>
              <w:rPr>
                <w:szCs w:val="24"/>
              </w:rPr>
            </w:pPr>
          </w:p>
        </w:tc>
        <w:tc>
          <w:tcPr>
            <w:tcW w:w="1555" w:type="dxa"/>
            <w:tcBorders>
              <w:left w:val="single" w:sz="4" w:space="0" w:color="FFFFFF" w:themeColor="background1"/>
            </w:tcBorders>
          </w:tcPr>
          <w:p w:rsidR="00CE58F0" w:rsidRDefault="00CE58F0" w:rsidP="00413B8D">
            <w:pPr>
              <w:spacing w:after="120"/>
              <w:jc w:val="right"/>
              <w:rPr>
                <w:szCs w:val="24"/>
              </w:rPr>
            </w:pPr>
            <w:r>
              <w:rPr>
                <w:szCs w:val="24"/>
              </w:rPr>
              <w:t>31.7</w:t>
            </w:r>
          </w:p>
        </w:tc>
      </w:tr>
      <w:tr w:rsidR="00CE58F0" w:rsidRPr="009643EB" w:rsidTr="00413B8D">
        <w:tc>
          <w:tcPr>
            <w:tcW w:w="4208" w:type="dxa"/>
          </w:tcPr>
          <w:p w:rsidR="00CE58F0" w:rsidRDefault="00CE58F0" w:rsidP="00413B8D">
            <w:pPr>
              <w:spacing w:after="120"/>
              <w:rPr>
                <w:szCs w:val="24"/>
              </w:rPr>
            </w:pPr>
            <w:r>
              <w:rPr>
                <w:szCs w:val="24"/>
              </w:rPr>
              <w:t>Current liabilities</w:t>
            </w:r>
          </w:p>
        </w:tc>
        <w:tc>
          <w:tcPr>
            <w:tcW w:w="2126" w:type="dxa"/>
          </w:tcPr>
          <w:p w:rsidR="00CE58F0" w:rsidRDefault="00CE58F0" w:rsidP="00413B8D">
            <w:pPr>
              <w:tabs>
                <w:tab w:val="left" w:pos="1026"/>
              </w:tabs>
              <w:spacing w:after="120"/>
              <w:jc w:val="center"/>
              <w:rPr>
                <w:szCs w:val="24"/>
                <w:highlight w:val="yellow"/>
              </w:rPr>
            </w:pPr>
            <w:r w:rsidRPr="00440AB3">
              <w:rPr>
                <w:szCs w:val="24"/>
              </w:rPr>
              <w:t>2</w:t>
            </w:r>
            <w:r>
              <w:rPr>
                <w:szCs w:val="24"/>
              </w:rPr>
              <w:t>1</w:t>
            </w:r>
          </w:p>
        </w:tc>
        <w:tc>
          <w:tcPr>
            <w:tcW w:w="1559" w:type="dxa"/>
            <w:tcBorders>
              <w:bottom w:val="single" w:sz="18" w:space="0" w:color="auto"/>
            </w:tcBorders>
          </w:tcPr>
          <w:p w:rsidR="00CE58F0" w:rsidRPr="009643EB" w:rsidRDefault="00CE58F0" w:rsidP="00413B8D">
            <w:pPr>
              <w:spacing w:after="120"/>
              <w:jc w:val="right"/>
              <w:rPr>
                <w:szCs w:val="24"/>
              </w:rPr>
            </w:pPr>
            <w:r>
              <w:rPr>
                <w:szCs w:val="24"/>
              </w:rPr>
              <w:t>(11.7)</w:t>
            </w:r>
          </w:p>
        </w:tc>
        <w:tc>
          <w:tcPr>
            <w:tcW w:w="430" w:type="dxa"/>
            <w:tcBorders>
              <w:right w:val="single" w:sz="4" w:space="0" w:color="FFFFFF" w:themeColor="background1"/>
            </w:tcBorders>
          </w:tcPr>
          <w:p w:rsidR="00CE58F0" w:rsidRDefault="00CE58F0" w:rsidP="00413B8D">
            <w:pPr>
              <w:spacing w:after="120"/>
              <w:jc w:val="right"/>
              <w:rPr>
                <w:szCs w:val="24"/>
              </w:rPr>
            </w:pPr>
          </w:p>
        </w:tc>
        <w:tc>
          <w:tcPr>
            <w:tcW w:w="1555" w:type="dxa"/>
            <w:tcBorders>
              <w:left w:val="single" w:sz="4" w:space="0" w:color="FFFFFF" w:themeColor="background1"/>
              <w:bottom w:val="single" w:sz="18" w:space="0" w:color="auto"/>
            </w:tcBorders>
          </w:tcPr>
          <w:p w:rsidR="00CE58F0" w:rsidRDefault="00CE58F0" w:rsidP="00413B8D">
            <w:pPr>
              <w:spacing w:after="120"/>
              <w:jc w:val="right"/>
              <w:rPr>
                <w:szCs w:val="24"/>
              </w:rPr>
            </w:pPr>
            <w:r>
              <w:rPr>
                <w:szCs w:val="24"/>
              </w:rPr>
              <w:t>(9.7)</w:t>
            </w:r>
          </w:p>
        </w:tc>
      </w:tr>
      <w:tr w:rsidR="00CE58F0" w:rsidRPr="009643EB" w:rsidTr="00413B8D">
        <w:tc>
          <w:tcPr>
            <w:tcW w:w="4208" w:type="dxa"/>
          </w:tcPr>
          <w:p w:rsidR="00CE58F0" w:rsidRDefault="00CE58F0" w:rsidP="00413B8D">
            <w:pPr>
              <w:spacing w:before="120"/>
              <w:rPr>
                <w:szCs w:val="24"/>
              </w:rPr>
            </w:pPr>
            <w:r>
              <w:rPr>
                <w:szCs w:val="24"/>
              </w:rPr>
              <w:t>Net assets of the fund available to fund benefits at the period end</w:t>
            </w:r>
          </w:p>
        </w:tc>
        <w:tc>
          <w:tcPr>
            <w:tcW w:w="2126" w:type="dxa"/>
          </w:tcPr>
          <w:p w:rsidR="00CE58F0" w:rsidRPr="009643EB" w:rsidRDefault="00CE58F0" w:rsidP="00413B8D">
            <w:pPr>
              <w:spacing w:before="120" w:after="120"/>
              <w:jc w:val="right"/>
              <w:rPr>
                <w:szCs w:val="24"/>
              </w:rPr>
            </w:pPr>
          </w:p>
        </w:tc>
        <w:tc>
          <w:tcPr>
            <w:tcW w:w="1559" w:type="dxa"/>
            <w:tcBorders>
              <w:top w:val="single" w:sz="18" w:space="0" w:color="auto"/>
              <w:bottom w:val="single" w:sz="18" w:space="0" w:color="auto"/>
            </w:tcBorders>
          </w:tcPr>
          <w:p w:rsidR="00CE58F0" w:rsidRPr="009643EB" w:rsidRDefault="00CE58F0" w:rsidP="00413B8D">
            <w:pPr>
              <w:spacing w:before="120" w:after="120"/>
              <w:jc w:val="right"/>
              <w:rPr>
                <w:szCs w:val="24"/>
              </w:rPr>
            </w:pPr>
            <w:r>
              <w:rPr>
                <w:szCs w:val="24"/>
              </w:rPr>
              <w:t>5,188.1</w:t>
            </w:r>
          </w:p>
        </w:tc>
        <w:tc>
          <w:tcPr>
            <w:tcW w:w="430" w:type="dxa"/>
            <w:tcBorders>
              <w:right w:val="single" w:sz="4" w:space="0" w:color="FFFFFF" w:themeColor="background1"/>
            </w:tcBorders>
          </w:tcPr>
          <w:p w:rsidR="00CE58F0" w:rsidRDefault="00CE58F0" w:rsidP="00413B8D">
            <w:pPr>
              <w:spacing w:before="120" w:after="120"/>
              <w:rPr>
                <w:szCs w:val="24"/>
              </w:rPr>
            </w:pPr>
          </w:p>
        </w:tc>
        <w:tc>
          <w:tcPr>
            <w:tcW w:w="1555" w:type="dxa"/>
            <w:tcBorders>
              <w:top w:val="single" w:sz="18" w:space="0" w:color="auto"/>
              <w:left w:val="single" w:sz="4" w:space="0" w:color="FFFFFF" w:themeColor="background1"/>
              <w:bottom w:val="single" w:sz="18" w:space="0" w:color="auto"/>
            </w:tcBorders>
          </w:tcPr>
          <w:p w:rsidR="00CE58F0" w:rsidRDefault="00CE58F0" w:rsidP="00413B8D">
            <w:pPr>
              <w:spacing w:before="120" w:after="120"/>
              <w:jc w:val="right"/>
              <w:rPr>
                <w:szCs w:val="24"/>
              </w:rPr>
            </w:pPr>
            <w:r>
              <w:rPr>
                <w:szCs w:val="24"/>
              </w:rPr>
              <w:t>5,011.0</w:t>
            </w:r>
          </w:p>
        </w:tc>
      </w:tr>
    </w:tbl>
    <w:p w:rsidR="00CE58F0" w:rsidRDefault="00CE58F0" w:rsidP="00CE58F0"/>
    <w:p w:rsidR="00CE58F0" w:rsidRPr="00614617" w:rsidRDefault="00CE58F0" w:rsidP="00CE58F0"/>
    <w:p w:rsidR="00CE58F0" w:rsidRPr="00166665" w:rsidRDefault="00CE58F0" w:rsidP="00CE58F0">
      <w:pPr>
        <w:rPr>
          <w:szCs w:val="24"/>
        </w:rPr>
      </w:pPr>
      <w:r w:rsidRPr="00166665">
        <w:rPr>
          <w:szCs w:val="24"/>
        </w:rPr>
        <w:t>The Pension Fund's financial statements do not take account of liabilities to pay pensions and other benefits after the period end.</w:t>
      </w:r>
    </w:p>
    <w:p w:rsidR="00CE58F0" w:rsidRPr="00166665" w:rsidRDefault="00CE58F0" w:rsidP="00CE58F0">
      <w:pPr>
        <w:rPr>
          <w:szCs w:val="24"/>
        </w:rPr>
      </w:pPr>
    </w:p>
    <w:p w:rsidR="00CE58F0" w:rsidRPr="00166665" w:rsidRDefault="00CE58F0" w:rsidP="00CE58F0">
      <w:pPr>
        <w:pStyle w:val="Heading3"/>
        <w:rPr>
          <w:b w:val="0"/>
          <w:i w:val="0"/>
          <w:snapToGrid/>
          <w:sz w:val="24"/>
          <w:szCs w:val="24"/>
          <w:u w:val="none"/>
          <w:lang w:eastAsia="en-GB"/>
        </w:rPr>
      </w:pPr>
      <w:r w:rsidRPr="00166665">
        <w:rPr>
          <w:b w:val="0"/>
          <w:i w:val="0"/>
          <w:snapToGrid/>
          <w:sz w:val="24"/>
          <w:szCs w:val="24"/>
          <w:u w:val="none"/>
          <w:lang w:eastAsia="en-GB"/>
        </w:rPr>
        <w:t xml:space="preserve">This statement of accounts is that upon which the auditor should enter his certificate and opinion.  It presents fairly the position of the Lancashire County Pension Fund at 31 March </w:t>
      </w:r>
      <w:r>
        <w:rPr>
          <w:b w:val="0"/>
          <w:i w:val="0"/>
          <w:snapToGrid/>
          <w:sz w:val="24"/>
          <w:szCs w:val="24"/>
          <w:u w:val="none"/>
          <w:lang w:eastAsia="en-GB"/>
        </w:rPr>
        <w:t>2014</w:t>
      </w:r>
      <w:r w:rsidRPr="00166665">
        <w:rPr>
          <w:b w:val="0"/>
          <w:i w:val="0"/>
          <w:snapToGrid/>
          <w:sz w:val="24"/>
          <w:szCs w:val="24"/>
          <w:u w:val="none"/>
          <w:lang w:eastAsia="en-GB"/>
        </w:rPr>
        <w:t xml:space="preserve"> and its income and expenditure for the year then ended.</w:t>
      </w:r>
    </w:p>
    <w:p w:rsidR="00CE58F0" w:rsidRDefault="00CE58F0" w:rsidP="00CE58F0">
      <w:pPr>
        <w:rPr>
          <w:szCs w:val="24"/>
          <w:lang w:eastAsia="en-US"/>
        </w:rPr>
      </w:pPr>
    </w:p>
    <w:p w:rsidR="00CE58F0" w:rsidRDefault="00CE58F0" w:rsidP="00CE58F0">
      <w:pPr>
        <w:rPr>
          <w:szCs w:val="24"/>
          <w:lang w:eastAsia="en-US"/>
        </w:rPr>
      </w:pPr>
    </w:p>
    <w:p w:rsidR="00CE58F0" w:rsidRDefault="00CE58F0" w:rsidP="00CE58F0">
      <w:pPr>
        <w:rPr>
          <w:szCs w:val="24"/>
          <w:lang w:eastAsia="en-US"/>
        </w:rPr>
      </w:pPr>
    </w:p>
    <w:p w:rsidR="00CE58F0" w:rsidRDefault="00CE58F0" w:rsidP="00CE58F0">
      <w:pPr>
        <w:rPr>
          <w:szCs w:val="24"/>
          <w:lang w:eastAsia="en-US"/>
        </w:rPr>
      </w:pPr>
    </w:p>
    <w:p w:rsidR="00CE58F0" w:rsidRDefault="00CE58F0" w:rsidP="00CE58F0">
      <w:pPr>
        <w:rPr>
          <w:szCs w:val="24"/>
          <w:lang w:eastAsia="en-US"/>
        </w:rPr>
      </w:pPr>
    </w:p>
    <w:p w:rsidR="00CE58F0" w:rsidRPr="00166665" w:rsidRDefault="00CE58F0" w:rsidP="00CE58F0">
      <w:pPr>
        <w:rPr>
          <w:szCs w:val="24"/>
          <w:lang w:eastAsia="en-US"/>
        </w:rPr>
      </w:pPr>
    </w:p>
    <w:p w:rsidR="00CE58F0" w:rsidRPr="00166665" w:rsidRDefault="00CE58F0" w:rsidP="00CE58F0">
      <w:pPr>
        <w:rPr>
          <w:szCs w:val="24"/>
          <w:lang w:eastAsia="en-US"/>
        </w:rPr>
      </w:pPr>
    </w:p>
    <w:tbl>
      <w:tblPr>
        <w:tblW w:w="0" w:type="auto"/>
        <w:tblLook w:val="04A0" w:firstRow="1" w:lastRow="0" w:firstColumn="1" w:lastColumn="0" w:noHBand="0" w:noVBand="1"/>
      </w:tblPr>
      <w:tblGrid>
        <w:gridCol w:w="4926"/>
        <w:gridCol w:w="4927"/>
      </w:tblGrid>
      <w:tr w:rsidR="00CE58F0" w:rsidRPr="0017515A" w:rsidTr="00413B8D">
        <w:tc>
          <w:tcPr>
            <w:tcW w:w="4926" w:type="dxa"/>
          </w:tcPr>
          <w:p w:rsidR="00CE58F0" w:rsidRPr="004B3393" w:rsidRDefault="00CE58F0" w:rsidP="00413B8D">
            <w:pPr>
              <w:rPr>
                <w:b/>
                <w:szCs w:val="24"/>
                <w:lang w:eastAsia="en-US"/>
              </w:rPr>
            </w:pPr>
            <w:r w:rsidRPr="004B3393">
              <w:rPr>
                <w:b/>
                <w:szCs w:val="24"/>
                <w:lang w:eastAsia="en-US"/>
              </w:rPr>
              <w:t>Gill Kilpatrick CPFA</w:t>
            </w:r>
            <w:r w:rsidRPr="004B3393">
              <w:rPr>
                <w:b/>
                <w:szCs w:val="24"/>
                <w:lang w:eastAsia="en-US"/>
              </w:rPr>
              <w:tab/>
              <w:t xml:space="preserve"> </w:t>
            </w:r>
          </w:p>
        </w:tc>
        <w:tc>
          <w:tcPr>
            <w:tcW w:w="4927" w:type="dxa"/>
          </w:tcPr>
          <w:p w:rsidR="00CE58F0" w:rsidRPr="004B3393" w:rsidRDefault="00CE58F0" w:rsidP="00413B8D">
            <w:pPr>
              <w:rPr>
                <w:b/>
                <w:szCs w:val="24"/>
                <w:lang w:eastAsia="en-US"/>
              </w:rPr>
            </w:pPr>
            <w:r w:rsidRPr="004B3393">
              <w:rPr>
                <w:b/>
                <w:szCs w:val="24"/>
                <w:lang w:eastAsia="en-US"/>
              </w:rPr>
              <w:t xml:space="preserve">County Councillor </w:t>
            </w:r>
            <w:r>
              <w:rPr>
                <w:b/>
                <w:szCs w:val="24"/>
                <w:lang w:eastAsia="en-US"/>
              </w:rPr>
              <w:t>Clare Pritchard</w:t>
            </w:r>
          </w:p>
        </w:tc>
      </w:tr>
      <w:tr w:rsidR="00CE58F0" w:rsidRPr="0017515A" w:rsidTr="00413B8D">
        <w:tc>
          <w:tcPr>
            <w:tcW w:w="4926" w:type="dxa"/>
          </w:tcPr>
          <w:p w:rsidR="00CE58F0" w:rsidRPr="004B3393" w:rsidRDefault="00CE58F0" w:rsidP="00413B8D">
            <w:pPr>
              <w:rPr>
                <w:b/>
                <w:szCs w:val="24"/>
                <w:lang w:eastAsia="en-US"/>
              </w:rPr>
            </w:pPr>
          </w:p>
        </w:tc>
        <w:tc>
          <w:tcPr>
            <w:tcW w:w="4927" w:type="dxa"/>
          </w:tcPr>
          <w:p w:rsidR="00CE58F0" w:rsidRPr="004B3393" w:rsidRDefault="00CE58F0" w:rsidP="00413B8D">
            <w:pPr>
              <w:rPr>
                <w:b/>
                <w:szCs w:val="24"/>
                <w:lang w:eastAsia="en-US"/>
              </w:rPr>
            </w:pPr>
          </w:p>
        </w:tc>
      </w:tr>
      <w:tr w:rsidR="00CE58F0" w:rsidRPr="0017515A" w:rsidTr="00413B8D">
        <w:tc>
          <w:tcPr>
            <w:tcW w:w="4926" w:type="dxa"/>
          </w:tcPr>
          <w:p w:rsidR="00CE58F0" w:rsidRPr="004B3393" w:rsidRDefault="00CE58F0" w:rsidP="00413B8D">
            <w:pPr>
              <w:rPr>
                <w:b/>
                <w:szCs w:val="24"/>
                <w:lang w:eastAsia="en-US"/>
              </w:rPr>
            </w:pPr>
            <w:r w:rsidRPr="004B3393">
              <w:rPr>
                <w:b/>
                <w:szCs w:val="24"/>
                <w:lang w:eastAsia="en-US"/>
              </w:rPr>
              <w:t>Treasurer to the Lancashire</w:t>
            </w:r>
          </w:p>
          <w:p w:rsidR="00CE58F0" w:rsidRPr="004B3393" w:rsidRDefault="00CE58F0" w:rsidP="00413B8D">
            <w:pPr>
              <w:rPr>
                <w:b/>
                <w:szCs w:val="24"/>
                <w:lang w:eastAsia="en-US"/>
              </w:rPr>
            </w:pPr>
            <w:r w:rsidRPr="004B3393">
              <w:rPr>
                <w:b/>
                <w:szCs w:val="24"/>
                <w:lang w:eastAsia="en-US"/>
              </w:rPr>
              <w:t>County Pension Fund</w:t>
            </w:r>
          </w:p>
        </w:tc>
        <w:tc>
          <w:tcPr>
            <w:tcW w:w="4927" w:type="dxa"/>
          </w:tcPr>
          <w:p w:rsidR="00CE58F0" w:rsidRPr="004B3393" w:rsidRDefault="00CE58F0" w:rsidP="00413B8D">
            <w:pPr>
              <w:rPr>
                <w:b/>
                <w:szCs w:val="24"/>
                <w:lang w:eastAsia="en-US"/>
              </w:rPr>
            </w:pPr>
            <w:r w:rsidRPr="004B3393">
              <w:rPr>
                <w:b/>
                <w:szCs w:val="24"/>
                <w:lang w:eastAsia="en-US"/>
              </w:rPr>
              <w:t>Chair of the Audit</w:t>
            </w:r>
            <w:r w:rsidR="00480191">
              <w:rPr>
                <w:b/>
                <w:szCs w:val="24"/>
                <w:lang w:eastAsia="en-US"/>
              </w:rPr>
              <w:t xml:space="preserve"> and Governance</w:t>
            </w:r>
            <w:r w:rsidRPr="004B3393">
              <w:rPr>
                <w:b/>
                <w:szCs w:val="24"/>
                <w:lang w:eastAsia="en-US"/>
              </w:rPr>
              <w:t xml:space="preserve"> Committee</w:t>
            </w:r>
          </w:p>
        </w:tc>
      </w:tr>
      <w:tr w:rsidR="00CE58F0" w:rsidRPr="0017515A" w:rsidTr="00413B8D">
        <w:tc>
          <w:tcPr>
            <w:tcW w:w="4926" w:type="dxa"/>
          </w:tcPr>
          <w:p w:rsidR="00CE58F0" w:rsidRPr="004B3393" w:rsidRDefault="00CE58F0" w:rsidP="00413B8D">
            <w:pPr>
              <w:rPr>
                <w:b/>
                <w:szCs w:val="24"/>
                <w:lang w:eastAsia="en-US"/>
              </w:rPr>
            </w:pPr>
          </w:p>
        </w:tc>
        <w:tc>
          <w:tcPr>
            <w:tcW w:w="4927" w:type="dxa"/>
          </w:tcPr>
          <w:p w:rsidR="00CE58F0" w:rsidRPr="004B3393" w:rsidRDefault="00CE58F0" w:rsidP="00413B8D">
            <w:pPr>
              <w:rPr>
                <w:b/>
                <w:szCs w:val="24"/>
                <w:lang w:eastAsia="en-US"/>
              </w:rPr>
            </w:pPr>
          </w:p>
        </w:tc>
      </w:tr>
    </w:tbl>
    <w:p w:rsidR="00CE58F0" w:rsidRPr="00166665" w:rsidRDefault="00CE58F0" w:rsidP="00CE58F0">
      <w:pPr>
        <w:rPr>
          <w:szCs w:val="24"/>
          <w:lang w:eastAsia="en-US"/>
        </w:rPr>
      </w:pPr>
      <w:r w:rsidRPr="00166665">
        <w:rPr>
          <w:szCs w:val="24"/>
          <w:lang w:eastAsia="en-US"/>
        </w:rPr>
        <w:br w:type="page"/>
      </w:r>
    </w:p>
    <w:p w:rsidR="00CE58F0" w:rsidRPr="00166665" w:rsidRDefault="00CE58F0" w:rsidP="00CE58F0">
      <w:pPr>
        <w:pStyle w:val="Heading3"/>
        <w:rPr>
          <w:i w:val="0"/>
          <w:sz w:val="24"/>
          <w:szCs w:val="24"/>
          <w:u w:val="none"/>
        </w:rPr>
      </w:pPr>
      <w:r w:rsidRPr="00166665">
        <w:rPr>
          <w:i w:val="0"/>
          <w:sz w:val="24"/>
          <w:szCs w:val="24"/>
          <w:u w:val="none"/>
        </w:rPr>
        <w:lastRenderedPageBreak/>
        <w:t>Notes to the Financial Statements</w:t>
      </w:r>
    </w:p>
    <w:p w:rsidR="00CE58F0" w:rsidRPr="00166665" w:rsidRDefault="00CE58F0" w:rsidP="00CE58F0">
      <w:pPr>
        <w:rPr>
          <w:szCs w:val="24"/>
        </w:rPr>
      </w:pPr>
    </w:p>
    <w:p w:rsidR="00CE58F0" w:rsidRPr="00166665" w:rsidRDefault="00CE58F0" w:rsidP="00CE58F0">
      <w:pPr>
        <w:numPr>
          <w:ilvl w:val="0"/>
          <w:numId w:val="2"/>
        </w:numPr>
        <w:tabs>
          <w:tab w:val="clear" w:pos="720"/>
          <w:tab w:val="num" w:pos="567"/>
          <w:tab w:val="num" w:pos="862"/>
        </w:tabs>
        <w:spacing w:after="240"/>
        <w:ind w:left="862"/>
        <w:jc w:val="both"/>
        <w:rPr>
          <w:b/>
          <w:szCs w:val="24"/>
        </w:rPr>
      </w:pPr>
      <w:r w:rsidRPr="00166665">
        <w:rPr>
          <w:b/>
          <w:szCs w:val="24"/>
        </w:rPr>
        <w:t xml:space="preserve">Pension Fund Operations and Membership </w:t>
      </w:r>
    </w:p>
    <w:p w:rsidR="00CE58F0" w:rsidRPr="00166665" w:rsidRDefault="00CE58F0" w:rsidP="00CE58F0">
      <w:pPr>
        <w:ind w:left="567"/>
        <w:rPr>
          <w:szCs w:val="24"/>
        </w:rPr>
      </w:pPr>
      <w:r w:rsidRPr="00166665">
        <w:rPr>
          <w:szCs w:val="24"/>
        </w:rPr>
        <w:t>The La</w:t>
      </w:r>
      <w:r>
        <w:rPr>
          <w:szCs w:val="24"/>
        </w:rPr>
        <w:t xml:space="preserve">ncashire County Pension Fund is part of the Local Government Pension Scheme and is </w:t>
      </w:r>
      <w:r w:rsidRPr="00166665">
        <w:rPr>
          <w:szCs w:val="24"/>
        </w:rPr>
        <w:t xml:space="preserve">administered by Lancashire County Council. </w:t>
      </w:r>
      <w:r>
        <w:rPr>
          <w:szCs w:val="24"/>
        </w:rPr>
        <w:t xml:space="preserve">The county council is the reporting entity for this pension fund. </w:t>
      </w:r>
      <w:r w:rsidRPr="00166665">
        <w:rPr>
          <w:szCs w:val="24"/>
        </w:rPr>
        <w:t xml:space="preserve"> </w:t>
      </w:r>
    </w:p>
    <w:p w:rsidR="00CE58F0" w:rsidRPr="00166665" w:rsidRDefault="00CE58F0" w:rsidP="00CE58F0">
      <w:pPr>
        <w:ind w:left="567"/>
        <w:rPr>
          <w:szCs w:val="24"/>
        </w:rPr>
      </w:pPr>
    </w:p>
    <w:p w:rsidR="00CE58F0" w:rsidRDefault="00CE58F0" w:rsidP="00CE58F0">
      <w:pPr>
        <w:ind w:left="567"/>
        <w:jc w:val="both"/>
        <w:rPr>
          <w:szCs w:val="24"/>
        </w:rPr>
      </w:pPr>
      <w:r w:rsidRPr="00301C88">
        <w:rPr>
          <w:szCs w:val="24"/>
        </w:rPr>
        <w:t xml:space="preserve">The published accounts show that in </w:t>
      </w:r>
      <w:r w:rsidRPr="00301C88">
        <w:rPr>
          <w:caps/>
          <w:szCs w:val="24"/>
        </w:rPr>
        <w:t>201</w:t>
      </w:r>
      <w:r>
        <w:rPr>
          <w:caps/>
          <w:szCs w:val="24"/>
        </w:rPr>
        <w:t>3</w:t>
      </w:r>
      <w:r w:rsidRPr="00301C88">
        <w:rPr>
          <w:caps/>
          <w:szCs w:val="24"/>
        </w:rPr>
        <w:t>/1</w:t>
      </w:r>
      <w:r>
        <w:rPr>
          <w:caps/>
          <w:szCs w:val="24"/>
        </w:rPr>
        <w:t>4</w:t>
      </w:r>
      <w:r w:rsidRPr="00301C88">
        <w:rPr>
          <w:szCs w:val="24"/>
        </w:rPr>
        <w:t xml:space="preserve"> cash inflows during the year consisted of £</w:t>
      </w:r>
      <w:r>
        <w:rPr>
          <w:szCs w:val="24"/>
        </w:rPr>
        <w:t>326.4</w:t>
      </w:r>
      <w:r w:rsidRPr="00301C88">
        <w:rPr>
          <w:szCs w:val="24"/>
        </w:rPr>
        <w:t xml:space="preserve"> million and cash outflows were £</w:t>
      </w:r>
      <w:r>
        <w:rPr>
          <w:szCs w:val="24"/>
        </w:rPr>
        <w:t>252.2</w:t>
      </w:r>
      <w:r w:rsidRPr="00301C88">
        <w:rPr>
          <w:szCs w:val="24"/>
        </w:rPr>
        <w:t xml:space="preserve"> million, representing a net cash inflow of £</w:t>
      </w:r>
      <w:r>
        <w:rPr>
          <w:szCs w:val="24"/>
        </w:rPr>
        <w:t>74.2</w:t>
      </w:r>
      <w:r w:rsidRPr="00301C88">
        <w:rPr>
          <w:szCs w:val="24"/>
        </w:rPr>
        <w:t xml:space="preserve"> million (compared with an inflow of £9</w:t>
      </w:r>
      <w:r>
        <w:rPr>
          <w:szCs w:val="24"/>
        </w:rPr>
        <w:t>8</w:t>
      </w:r>
      <w:r w:rsidRPr="00301C88">
        <w:rPr>
          <w:szCs w:val="24"/>
        </w:rPr>
        <w:t>.</w:t>
      </w:r>
      <w:r>
        <w:rPr>
          <w:szCs w:val="24"/>
        </w:rPr>
        <w:t>4</w:t>
      </w:r>
      <w:r w:rsidRPr="00301C88">
        <w:rPr>
          <w:szCs w:val="24"/>
        </w:rPr>
        <w:t xml:space="preserve"> million in the previous year).  Benefits payable amounted to £</w:t>
      </w:r>
      <w:r>
        <w:rPr>
          <w:szCs w:val="24"/>
        </w:rPr>
        <w:t>221.1</w:t>
      </w:r>
      <w:r w:rsidRPr="00301C88">
        <w:rPr>
          <w:szCs w:val="24"/>
        </w:rPr>
        <w:t xml:space="preserve"> million and were </w:t>
      </w:r>
      <w:r>
        <w:rPr>
          <w:szCs w:val="24"/>
        </w:rPr>
        <w:t xml:space="preserve">partially </w:t>
      </w:r>
      <w:r w:rsidRPr="00301C88">
        <w:rPr>
          <w:szCs w:val="24"/>
        </w:rPr>
        <w:t>offset by net investment income of £</w:t>
      </w:r>
      <w:r>
        <w:rPr>
          <w:szCs w:val="24"/>
        </w:rPr>
        <w:t>105.3</w:t>
      </w:r>
      <w:r w:rsidRPr="00301C88">
        <w:rPr>
          <w:szCs w:val="24"/>
        </w:rPr>
        <w:t xml:space="preserve"> million (including £</w:t>
      </w:r>
      <w:r>
        <w:rPr>
          <w:szCs w:val="24"/>
        </w:rPr>
        <w:t>12.4</w:t>
      </w:r>
      <w:r w:rsidRPr="00301C88">
        <w:rPr>
          <w:szCs w:val="24"/>
        </w:rPr>
        <w:t xml:space="preserve"> million accrued dividends); contributions of £</w:t>
      </w:r>
      <w:r>
        <w:rPr>
          <w:szCs w:val="24"/>
        </w:rPr>
        <w:t>214.0</w:t>
      </w:r>
      <w:r w:rsidRPr="00301C88">
        <w:rPr>
          <w:szCs w:val="24"/>
        </w:rPr>
        <w:t xml:space="preserve"> million and transfers in of £</w:t>
      </w:r>
      <w:r>
        <w:rPr>
          <w:szCs w:val="24"/>
        </w:rPr>
        <w:t>7.1</w:t>
      </w:r>
      <w:r w:rsidRPr="00301C88">
        <w:rPr>
          <w:szCs w:val="24"/>
        </w:rPr>
        <w:t xml:space="preserve"> million produced the positive cash inflow.</w:t>
      </w:r>
    </w:p>
    <w:p w:rsidR="00CE58F0" w:rsidRDefault="00CE58F0" w:rsidP="00CE58F0">
      <w:pPr>
        <w:ind w:left="567"/>
        <w:jc w:val="both"/>
        <w:rPr>
          <w:szCs w:val="24"/>
        </w:rPr>
      </w:pPr>
    </w:p>
    <w:p w:rsidR="00CE58F0" w:rsidRPr="00DA1B03" w:rsidRDefault="00CE58F0" w:rsidP="00726E6C">
      <w:pPr>
        <w:pStyle w:val="ListParagraph"/>
        <w:numPr>
          <w:ilvl w:val="0"/>
          <w:numId w:val="13"/>
        </w:numPr>
        <w:ind w:left="993" w:hanging="426"/>
        <w:rPr>
          <w:b/>
        </w:rPr>
      </w:pPr>
      <w:r w:rsidRPr="00DA1B03">
        <w:rPr>
          <w:b/>
        </w:rPr>
        <w:t>General</w:t>
      </w:r>
    </w:p>
    <w:p w:rsidR="00CE58F0" w:rsidRDefault="00CE58F0" w:rsidP="00CE58F0">
      <w:pPr>
        <w:ind w:left="567"/>
        <w:rPr>
          <w:szCs w:val="24"/>
        </w:rPr>
      </w:pPr>
    </w:p>
    <w:p w:rsidR="00CE58F0" w:rsidRDefault="00CE58F0" w:rsidP="00CE58F0">
      <w:pPr>
        <w:ind w:left="567"/>
        <w:rPr>
          <w:szCs w:val="24"/>
        </w:rPr>
      </w:pPr>
      <w:r>
        <w:rPr>
          <w:szCs w:val="24"/>
        </w:rPr>
        <w:t>The Fund is governed by the Superannuation Act 1972.  The fund is administered in accordance with the following secondary legislation:</w:t>
      </w:r>
    </w:p>
    <w:p w:rsidR="00CE58F0" w:rsidRDefault="00CE58F0" w:rsidP="00CE58F0">
      <w:pPr>
        <w:ind w:left="567"/>
        <w:rPr>
          <w:szCs w:val="24"/>
        </w:rPr>
      </w:pPr>
    </w:p>
    <w:p w:rsidR="00CE58F0" w:rsidRDefault="00CE58F0" w:rsidP="00726E6C">
      <w:pPr>
        <w:pStyle w:val="ListParagraph"/>
        <w:numPr>
          <w:ilvl w:val="0"/>
          <w:numId w:val="14"/>
        </w:numPr>
      </w:pPr>
      <w:r>
        <w:t>the LGPS (Benefits, Membership and Contributions) Regulations 2007 (as amended)</w:t>
      </w:r>
    </w:p>
    <w:p w:rsidR="00CE58F0" w:rsidRDefault="00CE58F0" w:rsidP="00726E6C">
      <w:pPr>
        <w:pStyle w:val="ListParagraph"/>
        <w:numPr>
          <w:ilvl w:val="0"/>
          <w:numId w:val="14"/>
        </w:numPr>
      </w:pPr>
      <w:r>
        <w:t>the LGPS (Administration) Regulations 2008 (as amended)</w:t>
      </w:r>
    </w:p>
    <w:p w:rsidR="00CE58F0" w:rsidRDefault="00CE58F0" w:rsidP="00726E6C">
      <w:pPr>
        <w:pStyle w:val="ListParagraph"/>
        <w:numPr>
          <w:ilvl w:val="0"/>
          <w:numId w:val="14"/>
        </w:numPr>
      </w:pPr>
      <w:r>
        <w:t>the LGPS (Management and Investment of Funds) Regulations 2009</w:t>
      </w:r>
    </w:p>
    <w:p w:rsidR="00CE58F0" w:rsidRDefault="00CE58F0" w:rsidP="00CE58F0">
      <w:pPr>
        <w:ind w:left="567"/>
      </w:pPr>
    </w:p>
    <w:p w:rsidR="00CE58F0" w:rsidRDefault="00CE58F0" w:rsidP="00CE58F0">
      <w:pPr>
        <w:ind w:left="567"/>
      </w:pPr>
      <w:r>
        <w:t>The fund is a contributory defined benefit pension scheme administered by Lancashire County Council to provide pensions and other benefits for pensionable employees of Lancashire County Council, the district councils in Lancashire and a range of other scheduled and admitted bodies within the county area.  Teachers, police officers and fire-fighters are not included within the Fund as they come within other national pension schemes.</w:t>
      </w:r>
    </w:p>
    <w:p w:rsidR="00CE58F0" w:rsidRDefault="00CE58F0" w:rsidP="00CE58F0">
      <w:pPr>
        <w:ind w:left="567"/>
      </w:pPr>
    </w:p>
    <w:p w:rsidR="00CE58F0" w:rsidRDefault="00CE58F0" w:rsidP="00CE58F0">
      <w:pPr>
        <w:ind w:left="567"/>
      </w:pPr>
      <w:r w:rsidRPr="00166665">
        <w:rPr>
          <w:szCs w:val="24"/>
        </w:rPr>
        <w:t xml:space="preserve">The investments of the Pension Fund are managed by </w:t>
      </w:r>
      <w:r>
        <w:rPr>
          <w:szCs w:val="24"/>
        </w:rPr>
        <w:t>eleven</w:t>
      </w:r>
      <w:r w:rsidRPr="00166665">
        <w:rPr>
          <w:szCs w:val="24"/>
        </w:rPr>
        <w:t xml:space="preserve"> external investment managers.  </w:t>
      </w:r>
      <w:r w:rsidRPr="001411AD">
        <w:rPr>
          <w:szCs w:val="24"/>
        </w:rPr>
        <w:t xml:space="preserve">The asset allocation and policy in respect of the investments of the Fund is determined by the Pension Fund Committee, which meets four times a year with the Investment Panel in attendance.  The Investment Panel </w:t>
      </w:r>
      <w:r>
        <w:rPr>
          <w:szCs w:val="24"/>
        </w:rPr>
        <w:t xml:space="preserve">meet at least quarterly, or otherwise as necessary.  The panel are responsible for making recommendations to the Pension Fund Committee in relation to the investment strategy of the fund as well as monitoring the activities and performance of the investment managers.  Full details of the Panel and Committees responsibilities are published in the Funds Statement of Investment Principles and are available from the Funds website at </w:t>
      </w:r>
      <w:hyperlink r:id="rId32" w:history="1">
        <w:r w:rsidR="00CB356C" w:rsidRPr="00CB356C">
          <w:rPr>
            <w:rStyle w:val="Hyperlink"/>
            <w:szCs w:val="24"/>
          </w:rPr>
          <w:t>Your Pension Service - Lancashire Fund Information</w:t>
        </w:r>
      </w:hyperlink>
    </w:p>
    <w:p w:rsidR="00CB356C" w:rsidRPr="00CB356C" w:rsidRDefault="00CB356C" w:rsidP="00CB356C">
      <w:pPr>
        <w:pStyle w:val="ListParagraph"/>
        <w:ind w:left="993"/>
      </w:pPr>
    </w:p>
    <w:p w:rsidR="00CE58F0" w:rsidRDefault="00CE58F0" w:rsidP="00CB356C">
      <w:pPr>
        <w:pStyle w:val="ListParagraph"/>
        <w:numPr>
          <w:ilvl w:val="0"/>
          <w:numId w:val="13"/>
        </w:numPr>
        <w:ind w:left="993" w:hanging="426"/>
      </w:pPr>
      <w:r w:rsidRPr="00CB356C">
        <w:rPr>
          <w:b/>
        </w:rPr>
        <w:t>Membership</w:t>
      </w:r>
    </w:p>
    <w:p w:rsidR="00CE58F0" w:rsidRPr="00DA1B03" w:rsidRDefault="00CE58F0" w:rsidP="00CE58F0">
      <w:pPr>
        <w:ind w:left="567"/>
      </w:pPr>
    </w:p>
    <w:p w:rsidR="00CE58F0" w:rsidRDefault="00CE58F0" w:rsidP="00CE58F0">
      <w:pPr>
        <w:ind w:left="567"/>
        <w:rPr>
          <w:szCs w:val="24"/>
        </w:rPr>
      </w:pPr>
      <w:r>
        <w:rPr>
          <w:szCs w:val="24"/>
        </w:rPr>
        <w:t>Membership of the LGPS is voluntary and employees are free to choose whether to join the scheme, remain in the scheme or make their own personal arrangements outside the scheme.</w:t>
      </w:r>
    </w:p>
    <w:p w:rsidR="00CE58F0" w:rsidRDefault="00CE58F0" w:rsidP="00CE58F0">
      <w:pPr>
        <w:ind w:left="567"/>
        <w:rPr>
          <w:szCs w:val="24"/>
        </w:rPr>
      </w:pPr>
    </w:p>
    <w:p w:rsidR="00CE58F0" w:rsidRDefault="00CE58F0" w:rsidP="00CE58F0">
      <w:pPr>
        <w:ind w:left="567"/>
        <w:rPr>
          <w:szCs w:val="24"/>
        </w:rPr>
      </w:pPr>
      <w:r>
        <w:rPr>
          <w:szCs w:val="24"/>
        </w:rPr>
        <w:t>The 297 organisations participating in the Lancashire County Pension Fund include:</w:t>
      </w:r>
    </w:p>
    <w:p w:rsidR="00CE58F0" w:rsidRDefault="00CE58F0" w:rsidP="00CE58F0">
      <w:pPr>
        <w:ind w:left="567"/>
        <w:rPr>
          <w:szCs w:val="24"/>
        </w:rPr>
      </w:pPr>
    </w:p>
    <w:p w:rsidR="00CE58F0" w:rsidRDefault="00CE58F0" w:rsidP="00726E6C">
      <w:pPr>
        <w:pStyle w:val="ListParagraph"/>
        <w:numPr>
          <w:ilvl w:val="0"/>
          <w:numId w:val="15"/>
        </w:numPr>
      </w:pPr>
      <w:r>
        <w:t>Scheduled bodies, which are local authorities and similar bodies whose staff are automatically entitled to be members of the fund.</w:t>
      </w:r>
    </w:p>
    <w:p w:rsidR="00CE58F0" w:rsidRDefault="00CE58F0" w:rsidP="00726E6C">
      <w:pPr>
        <w:pStyle w:val="ListParagraph"/>
        <w:numPr>
          <w:ilvl w:val="0"/>
          <w:numId w:val="15"/>
        </w:numPr>
      </w:pPr>
      <w:r>
        <w:lastRenderedPageBreak/>
        <w:t xml:space="preserve">Admitted bodies, which are other organisations that participate in the fund under an admission agreement between the fund and the relevant organisation.  </w:t>
      </w:r>
    </w:p>
    <w:p w:rsidR="00CE58F0" w:rsidRDefault="00CE58F0" w:rsidP="00CE58F0"/>
    <w:p w:rsidR="00CE58F0" w:rsidRDefault="00CE58F0" w:rsidP="00726E6C">
      <w:pPr>
        <w:pStyle w:val="ListParagraph"/>
        <w:numPr>
          <w:ilvl w:val="0"/>
          <w:numId w:val="15"/>
        </w:numPr>
      </w:pPr>
      <w:r>
        <w:t>Admitted bodies include voluntary, charitable and similar bodies or private contractors undertaking a local authority function following outsourcing to the private sector.</w:t>
      </w:r>
    </w:p>
    <w:p w:rsidR="00CE58F0" w:rsidRPr="00CA4F44" w:rsidRDefault="00CE58F0" w:rsidP="00CE58F0"/>
    <w:p w:rsidR="00CE58F0" w:rsidRPr="001D5977" w:rsidRDefault="00CE58F0" w:rsidP="00CE58F0">
      <w:pPr>
        <w:pStyle w:val="Heading1"/>
        <w:spacing w:before="0" w:after="0"/>
        <w:ind w:left="567"/>
        <w:rPr>
          <w:snapToGrid w:val="0"/>
          <w:color w:val="000000"/>
          <w:kern w:val="0"/>
          <w:sz w:val="24"/>
          <w:szCs w:val="24"/>
          <w:lang w:eastAsia="en-US"/>
        </w:rPr>
      </w:pPr>
      <w:r w:rsidRPr="001D5977">
        <w:rPr>
          <w:snapToGrid w:val="0"/>
          <w:color w:val="000000"/>
          <w:kern w:val="0"/>
          <w:sz w:val="24"/>
          <w:szCs w:val="24"/>
          <w:lang w:eastAsia="en-US"/>
        </w:rPr>
        <w:t>Participation in the Pension Fund</w:t>
      </w:r>
    </w:p>
    <w:p w:rsidR="00CE58F0" w:rsidRPr="001D5977" w:rsidRDefault="00CE58F0" w:rsidP="00CE58F0">
      <w:pPr>
        <w:rPr>
          <w:lang w:eastAsia="en-US"/>
        </w:rPr>
      </w:pPr>
    </w:p>
    <w:tbl>
      <w:tblPr>
        <w:tblStyle w:val="TableGrid"/>
        <w:tblW w:w="0" w:type="auto"/>
        <w:tblInd w:w="675" w:type="dxa"/>
        <w:tblLook w:val="04A0" w:firstRow="1" w:lastRow="0" w:firstColumn="1" w:lastColumn="0" w:noHBand="0" w:noVBand="1"/>
      </w:tblPr>
      <w:tblGrid>
        <w:gridCol w:w="4111"/>
        <w:gridCol w:w="2552"/>
        <w:gridCol w:w="2268"/>
      </w:tblGrid>
      <w:tr w:rsidR="00CE58F0" w:rsidTr="00413B8D">
        <w:tc>
          <w:tcPr>
            <w:tcW w:w="4111" w:type="dxa"/>
            <w:tcBorders>
              <w:top w:val="single" w:sz="18" w:space="0" w:color="auto"/>
              <w:left w:val="single" w:sz="18" w:space="0" w:color="auto"/>
              <w:bottom w:val="single" w:sz="18" w:space="0" w:color="auto"/>
              <w:right w:val="single" w:sz="18" w:space="0" w:color="auto"/>
            </w:tcBorders>
          </w:tcPr>
          <w:p w:rsidR="00CE58F0" w:rsidRDefault="00CE58F0" w:rsidP="00413B8D">
            <w:pPr>
              <w:rPr>
                <w:lang w:eastAsia="en-US"/>
              </w:rPr>
            </w:pPr>
          </w:p>
        </w:tc>
        <w:tc>
          <w:tcPr>
            <w:tcW w:w="2552" w:type="dxa"/>
            <w:tcBorders>
              <w:top w:val="single" w:sz="18" w:space="0" w:color="auto"/>
              <w:left w:val="single" w:sz="18" w:space="0" w:color="auto"/>
              <w:bottom w:val="single" w:sz="18" w:space="0" w:color="auto"/>
              <w:right w:val="single" w:sz="18" w:space="0" w:color="auto"/>
            </w:tcBorders>
          </w:tcPr>
          <w:p w:rsidR="00CE58F0" w:rsidRPr="001D5977" w:rsidRDefault="00CE58F0" w:rsidP="00413B8D">
            <w:pPr>
              <w:jc w:val="right"/>
              <w:rPr>
                <w:b/>
                <w:lang w:eastAsia="en-US"/>
              </w:rPr>
            </w:pPr>
            <w:r w:rsidRPr="001D5977">
              <w:rPr>
                <w:b/>
                <w:lang w:eastAsia="en-US"/>
              </w:rPr>
              <w:t xml:space="preserve">Number at </w:t>
            </w:r>
          </w:p>
          <w:p w:rsidR="00CE58F0" w:rsidRPr="001D5977" w:rsidRDefault="00CE58F0" w:rsidP="00413B8D">
            <w:pPr>
              <w:jc w:val="right"/>
              <w:rPr>
                <w:b/>
                <w:lang w:eastAsia="en-US"/>
              </w:rPr>
            </w:pPr>
            <w:r w:rsidRPr="001D5977">
              <w:rPr>
                <w:b/>
                <w:lang w:eastAsia="en-US"/>
              </w:rPr>
              <w:t>31 March 201</w:t>
            </w:r>
            <w:r>
              <w:rPr>
                <w:b/>
                <w:lang w:eastAsia="en-US"/>
              </w:rPr>
              <w:t>4</w:t>
            </w:r>
          </w:p>
        </w:tc>
        <w:tc>
          <w:tcPr>
            <w:tcW w:w="2268" w:type="dxa"/>
            <w:tcBorders>
              <w:top w:val="single" w:sz="18" w:space="0" w:color="auto"/>
              <w:left w:val="single" w:sz="18" w:space="0" w:color="auto"/>
              <w:bottom w:val="single" w:sz="18" w:space="0" w:color="auto"/>
              <w:right w:val="single" w:sz="18" w:space="0" w:color="auto"/>
            </w:tcBorders>
          </w:tcPr>
          <w:p w:rsidR="00CE58F0" w:rsidRPr="001D5977" w:rsidRDefault="00CE58F0" w:rsidP="00413B8D">
            <w:pPr>
              <w:jc w:val="right"/>
              <w:rPr>
                <w:b/>
                <w:lang w:eastAsia="en-US"/>
              </w:rPr>
            </w:pPr>
            <w:r w:rsidRPr="001D5977">
              <w:rPr>
                <w:b/>
                <w:lang w:eastAsia="en-US"/>
              </w:rPr>
              <w:t xml:space="preserve">Number at </w:t>
            </w:r>
          </w:p>
          <w:p w:rsidR="00CE58F0" w:rsidRPr="001D5977" w:rsidRDefault="00CE58F0" w:rsidP="00413B8D">
            <w:pPr>
              <w:jc w:val="right"/>
              <w:rPr>
                <w:b/>
                <w:lang w:eastAsia="en-US"/>
              </w:rPr>
            </w:pPr>
            <w:r w:rsidRPr="001D5977">
              <w:rPr>
                <w:b/>
                <w:lang w:eastAsia="en-US"/>
              </w:rPr>
              <w:t>31 March 201</w:t>
            </w:r>
            <w:r>
              <w:rPr>
                <w:b/>
                <w:lang w:eastAsia="en-US"/>
              </w:rPr>
              <w:t>3</w:t>
            </w:r>
          </w:p>
        </w:tc>
      </w:tr>
      <w:tr w:rsidR="00CE58F0" w:rsidTr="00413B8D">
        <w:tc>
          <w:tcPr>
            <w:tcW w:w="4111" w:type="dxa"/>
            <w:tcBorders>
              <w:top w:val="single" w:sz="18" w:space="0" w:color="auto"/>
              <w:left w:val="single" w:sz="18" w:space="0" w:color="auto"/>
              <w:bottom w:val="single" w:sz="18" w:space="0" w:color="FFFFFF" w:themeColor="background1"/>
              <w:right w:val="single" w:sz="18" w:space="0" w:color="auto"/>
            </w:tcBorders>
          </w:tcPr>
          <w:p w:rsidR="00CE58F0" w:rsidRDefault="00CE58F0" w:rsidP="00726E6C">
            <w:pPr>
              <w:pStyle w:val="ListParagraph"/>
              <w:numPr>
                <w:ilvl w:val="0"/>
                <w:numId w:val="12"/>
              </w:numPr>
              <w:ind w:hanging="686"/>
              <w:rPr>
                <w:lang w:eastAsia="en-US"/>
              </w:rPr>
            </w:pPr>
            <w:r>
              <w:rPr>
                <w:lang w:eastAsia="en-US"/>
              </w:rPr>
              <w:t>Active Scheme Members</w:t>
            </w:r>
          </w:p>
          <w:p w:rsidR="00CE58F0" w:rsidRDefault="00CE58F0" w:rsidP="00413B8D">
            <w:pPr>
              <w:pStyle w:val="ListParagraph"/>
              <w:rPr>
                <w:lang w:eastAsia="en-US"/>
              </w:rPr>
            </w:pPr>
          </w:p>
          <w:p w:rsidR="00CE58F0" w:rsidRDefault="00CE58F0" w:rsidP="00413B8D">
            <w:pPr>
              <w:pStyle w:val="ListParagraph"/>
              <w:rPr>
                <w:lang w:eastAsia="en-US"/>
              </w:rPr>
            </w:pPr>
            <w:r>
              <w:rPr>
                <w:lang w:eastAsia="en-US"/>
              </w:rPr>
              <w:t>Scheduled Bodies</w:t>
            </w:r>
          </w:p>
        </w:tc>
        <w:tc>
          <w:tcPr>
            <w:tcW w:w="2552" w:type="dxa"/>
            <w:vMerge w:val="restart"/>
            <w:tcBorders>
              <w:top w:val="single" w:sz="18" w:space="0" w:color="auto"/>
              <w:left w:val="single" w:sz="18" w:space="0" w:color="auto"/>
              <w:right w:val="single" w:sz="18" w:space="0" w:color="auto"/>
            </w:tcBorders>
          </w:tcPr>
          <w:p w:rsidR="00CE58F0" w:rsidRDefault="00CE58F0" w:rsidP="00413B8D">
            <w:pPr>
              <w:jc w:val="right"/>
              <w:rPr>
                <w:lang w:eastAsia="en-US"/>
              </w:rPr>
            </w:pPr>
          </w:p>
          <w:p w:rsidR="00CE58F0" w:rsidRDefault="00CE58F0" w:rsidP="00413B8D">
            <w:pPr>
              <w:jc w:val="right"/>
              <w:rPr>
                <w:lang w:eastAsia="en-US"/>
              </w:rPr>
            </w:pPr>
          </w:p>
          <w:p w:rsidR="00CE58F0" w:rsidRDefault="00CE58F0" w:rsidP="00413B8D">
            <w:pPr>
              <w:jc w:val="right"/>
              <w:rPr>
                <w:lang w:eastAsia="en-US"/>
              </w:rPr>
            </w:pPr>
            <w:r>
              <w:rPr>
                <w:lang w:eastAsia="en-US"/>
              </w:rPr>
              <w:t>50,536</w:t>
            </w:r>
          </w:p>
          <w:p w:rsidR="00CE58F0" w:rsidRDefault="00CE58F0" w:rsidP="00413B8D">
            <w:pPr>
              <w:jc w:val="right"/>
              <w:rPr>
                <w:lang w:eastAsia="en-US"/>
              </w:rPr>
            </w:pPr>
            <w:r>
              <w:rPr>
                <w:lang w:eastAsia="en-US"/>
              </w:rPr>
              <w:t>4,208</w:t>
            </w:r>
          </w:p>
        </w:tc>
        <w:tc>
          <w:tcPr>
            <w:tcW w:w="2268" w:type="dxa"/>
            <w:vMerge w:val="restart"/>
            <w:tcBorders>
              <w:top w:val="single" w:sz="18" w:space="0" w:color="auto"/>
              <w:left w:val="single" w:sz="18" w:space="0" w:color="auto"/>
              <w:right w:val="single" w:sz="18" w:space="0" w:color="auto"/>
            </w:tcBorders>
          </w:tcPr>
          <w:p w:rsidR="00CE58F0" w:rsidRDefault="00CE58F0" w:rsidP="00413B8D">
            <w:pPr>
              <w:jc w:val="right"/>
              <w:rPr>
                <w:lang w:eastAsia="en-US"/>
              </w:rPr>
            </w:pPr>
          </w:p>
          <w:p w:rsidR="00CE58F0" w:rsidRDefault="00CE58F0" w:rsidP="00413B8D">
            <w:pPr>
              <w:jc w:val="right"/>
              <w:rPr>
                <w:lang w:eastAsia="en-US"/>
              </w:rPr>
            </w:pPr>
          </w:p>
          <w:p w:rsidR="00CE58F0" w:rsidRDefault="00CE58F0" w:rsidP="00413B8D">
            <w:pPr>
              <w:jc w:val="right"/>
              <w:rPr>
                <w:lang w:eastAsia="en-US"/>
              </w:rPr>
            </w:pPr>
            <w:r>
              <w:rPr>
                <w:lang w:eastAsia="en-US"/>
              </w:rPr>
              <w:t>49,391</w:t>
            </w:r>
          </w:p>
          <w:p w:rsidR="00CE58F0" w:rsidRDefault="00CE58F0" w:rsidP="00413B8D">
            <w:pPr>
              <w:jc w:val="right"/>
              <w:rPr>
                <w:lang w:eastAsia="en-US"/>
              </w:rPr>
            </w:pPr>
            <w:r>
              <w:rPr>
                <w:lang w:eastAsia="en-US"/>
              </w:rPr>
              <w:t>3,572</w:t>
            </w:r>
          </w:p>
        </w:tc>
      </w:tr>
      <w:tr w:rsidR="00CE58F0" w:rsidTr="00413B8D">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CE58F0" w:rsidRDefault="00CE58F0" w:rsidP="00413B8D">
            <w:pPr>
              <w:pStyle w:val="ListParagraph"/>
              <w:rPr>
                <w:lang w:eastAsia="en-US"/>
              </w:rPr>
            </w:pPr>
            <w:r>
              <w:rPr>
                <w:lang w:eastAsia="en-US"/>
              </w:rPr>
              <w:t>Admitted Bodies</w:t>
            </w:r>
          </w:p>
        </w:tc>
        <w:tc>
          <w:tcPr>
            <w:tcW w:w="2552" w:type="dxa"/>
            <w:vMerge/>
            <w:tcBorders>
              <w:left w:val="single" w:sz="18" w:space="0" w:color="auto"/>
              <w:bottom w:val="single" w:sz="18" w:space="0" w:color="auto"/>
              <w:right w:val="single" w:sz="18" w:space="0" w:color="auto"/>
            </w:tcBorders>
          </w:tcPr>
          <w:p w:rsidR="00CE58F0" w:rsidRDefault="00CE58F0" w:rsidP="00413B8D">
            <w:pPr>
              <w:jc w:val="right"/>
              <w:rPr>
                <w:lang w:eastAsia="en-US"/>
              </w:rPr>
            </w:pPr>
          </w:p>
        </w:tc>
        <w:tc>
          <w:tcPr>
            <w:tcW w:w="2268" w:type="dxa"/>
            <w:vMerge/>
            <w:tcBorders>
              <w:left w:val="single" w:sz="18" w:space="0" w:color="auto"/>
              <w:bottom w:val="single" w:sz="18" w:space="0" w:color="auto"/>
              <w:right w:val="single" w:sz="18" w:space="0" w:color="auto"/>
            </w:tcBorders>
          </w:tcPr>
          <w:p w:rsidR="00CE58F0" w:rsidRDefault="00CE58F0" w:rsidP="00413B8D">
            <w:pPr>
              <w:jc w:val="right"/>
              <w:rPr>
                <w:lang w:eastAsia="en-US"/>
              </w:rPr>
            </w:pPr>
          </w:p>
        </w:tc>
      </w:tr>
      <w:tr w:rsidR="00CE58F0" w:rsidTr="00413B8D">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CE58F0" w:rsidRPr="001D5977" w:rsidRDefault="00CE58F0" w:rsidP="00413B8D">
            <w:pPr>
              <w:pStyle w:val="ListParagraph"/>
              <w:rPr>
                <w:b/>
                <w:lang w:eastAsia="en-US"/>
              </w:rPr>
            </w:pPr>
            <w:r w:rsidRPr="001D5977">
              <w:rPr>
                <w:b/>
                <w:lang w:eastAsia="en-US"/>
              </w:rPr>
              <w:t>Total</w:t>
            </w:r>
          </w:p>
        </w:tc>
        <w:tc>
          <w:tcPr>
            <w:tcW w:w="2552" w:type="dxa"/>
            <w:tcBorders>
              <w:top w:val="single" w:sz="18" w:space="0" w:color="auto"/>
              <w:left w:val="single" w:sz="18" w:space="0" w:color="auto"/>
              <w:bottom w:val="single" w:sz="18" w:space="0" w:color="auto"/>
              <w:right w:val="single" w:sz="18" w:space="0" w:color="auto"/>
            </w:tcBorders>
          </w:tcPr>
          <w:p w:rsidR="00CE58F0" w:rsidRPr="001D5977" w:rsidRDefault="00CE58F0" w:rsidP="00413B8D">
            <w:pPr>
              <w:jc w:val="right"/>
              <w:rPr>
                <w:b/>
                <w:lang w:eastAsia="en-US"/>
              </w:rPr>
            </w:pPr>
            <w:r>
              <w:rPr>
                <w:b/>
                <w:lang w:eastAsia="en-US"/>
              </w:rPr>
              <w:t>54,744</w:t>
            </w:r>
          </w:p>
        </w:tc>
        <w:tc>
          <w:tcPr>
            <w:tcW w:w="2268" w:type="dxa"/>
            <w:tcBorders>
              <w:top w:val="single" w:sz="18" w:space="0" w:color="auto"/>
              <w:left w:val="single" w:sz="18" w:space="0" w:color="auto"/>
              <w:bottom w:val="single" w:sz="18" w:space="0" w:color="auto"/>
              <w:right w:val="single" w:sz="18" w:space="0" w:color="auto"/>
            </w:tcBorders>
          </w:tcPr>
          <w:p w:rsidR="00CE58F0" w:rsidRPr="001D5977" w:rsidRDefault="00CE58F0" w:rsidP="00413B8D">
            <w:pPr>
              <w:jc w:val="right"/>
              <w:rPr>
                <w:b/>
                <w:lang w:eastAsia="en-US"/>
              </w:rPr>
            </w:pPr>
            <w:r>
              <w:rPr>
                <w:b/>
                <w:lang w:eastAsia="en-US"/>
              </w:rPr>
              <w:t>52,963</w:t>
            </w:r>
          </w:p>
        </w:tc>
      </w:tr>
      <w:tr w:rsidR="00CE58F0" w:rsidTr="00413B8D">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CE58F0" w:rsidRDefault="00CE58F0" w:rsidP="00726E6C">
            <w:pPr>
              <w:pStyle w:val="ListParagraph"/>
              <w:numPr>
                <w:ilvl w:val="0"/>
                <w:numId w:val="12"/>
              </w:numPr>
              <w:spacing w:before="240"/>
              <w:ind w:hanging="686"/>
              <w:rPr>
                <w:lang w:eastAsia="en-US"/>
              </w:rPr>
            </w:pPr>
            <w:r>
              <w:rPr>
                <w:lang w:eastAsia="en-US"/>
              </w:rPr>
              <w:t>Pensioners</w:t>
            </w:r>
          </w:p>
          <w:p w:rsidR="00CE58F0" w:rsidRDefault="00CE58F0" w:rsidP="00413B8D">
            <w:pPr>
              <w:pStyle w:val="ListParagraph"/>
              <w:rPr>
                <w:lang w:eastAsia="en-US"/>
              </w:rPr>
            </w:pPr>
          </w:p>
          <w:p w:rsidR="00CE58F0" w:rsidRDefault="00CE58F0" w:rsidP="00413B8D">
            <w:pPr>
              <w:pStyle w:val="ListParagraph"/>
              <w:rPr>
                <w:lang w:eastAsia="en-US"/>
              </w:rPr>
            </w:pPr>
            <w:r>
              <w:rPr>
                <w:lang w:eastAsia="en-US"/>
              </w:rPr>
              <w:t>Pensions in Payment</w:t>
            </w:r>
          </w:p>
        </w:tc>
        <w:tc>
          <w:tcPr>
            <w:tcW w:w="2552" w:type="dxa"/>
            <w:vMerge w:val="restart"/>
            <w:tcBorders>
              <w:top w:val="single" w:sz="18" w:space="0" w:color="FFFFFF" w:themeColor="background1"/>
              <w:left w:val="single" w:sz="18" w:space="0" w:color="auto"/>
              <w:right w:val="single" w:sz="18" w:space="0" w:color="auto"/>
            </w:tcBorders>
          </w:tcPr>
          <w:p w:rsidR="00CE58F0" w:rsidRDefault="00CE58F0" w:rsidP="00413B8D">
            <w:pPr>
              <w:jc w:val="right"/>
              <w:rPr>
                <w:lang w:eastAsia="en-US"/>
              </w:rPr>
            </w:pPr>
          </w:p>
          <w:p w:rsidR="00CE58F0" w:rsidRDefault="00CE58F0" w:rsidP="00413B8D">
            <w:pPr>
              <w:jc w:val="right"/>
              <w:rPr>
                <w:lang w:eastAsia="en-US"/>
              </w:rPr>
            </w:pPr>
          </w:p>
          <w:p w:rsidR="00CE58F0" w:rsidRDefault="00CE58F0" w:rsidP="00413B8D">
            <w:pPr>
              <w:jc w:val="right"/>
              <w:rPr>
                <w:lang w:eastAsia="en-US"/>
              </w:rPr>
            </w:pPr>
          </w:p>
          <w:p w:rsidR="00CE58F0" w:rsidRDefault="00CE58F0" w:rsidP="00413B8D">
            <w:pPr>
              <w:jc w:val="right"/>
              <w:rPr>
                <w:lang w:eastAsia="en-US"/>
              </w:rPr>
            </w:pPr>
            <w:r>
              <w:rPr>
                <w:lang w:eastAsia="en-US"/>
              </w:rPr>
              <w:t>42,278</w:t>
            </w:r>
          </w:p>
          <w:p w:rsidR="00CE58F0" w:rsidRDefault="00CE58F0" w:rsidP="00413B8D">
            <w:pPr>
              <w:jc w:val="right"/>
              <w:rPr>
                <w:lang w:eastAsia="en-US"/>
              </w:rPr>
            </w:pPr>
            <w:r>
              <w:rPr>
                <w:lang w:eastAsia="en-US"/>
              </w:rPr>
              <w:t>53,895</w:t>
            </w:r>
          </w:p>
        </w:tc>
        <w:tc>
          <w:tcPr>
            <w:tcW w:w="2268" w:type="dxa"/>
            <w:vMerge w:val="restart"/>
            <w:tcBorders>
              <w:top w:val="single" w:sz="18" w:space="0" w:color="FFFFFF" w:themeColor="background1"/>
              <w:left w:val="single" w:sz="18" w:space="0" w:color="auto"/>
              <w:right w:val="single" w:sz="18" w:space="0" w:color="auto"/>
            </w:tcBorders>
          </w:tcPr>
          <w:p w:rsidR="00CE58F0" w:rsidRDefault="00CE58F0" w:rsidP="00413B8D">
            <w:pPr>
              <w:jc w:val="right"/>
              <w:rPr>
                <w:lang w:eastAsia="en-US"/>
              </w:rPr>
            </w:pPr>
          </w:p>
          <w:p w:rsidR="00CE58F0" w:rsidRDefault="00CE58F0" w:rsidP="00413B8D">
            <w:pPr>
              <w:jc w:val="right"/>
              <w:rPr>
                <w:lang w:eastAsia="en-US"/>
              </w:rPr>
            </w:pPr>
          </w:p>
          <w:p w:rsidR="00CE58F0" w:rsidRDefault="00CE58F0" w:rsidP="00413B8D">
            <w:pPr>
              <w:jc w:val="right"/>
              <w:rPr>
                <w:lang w:eastAsia="en-US"/>
              </w:rPr>
            </w:pPr>
          </w:p>
          <w:p w:rsidR="00CE58F0" w:rsidRDefault="00CE58F0" w:rsidP="00413B8D">
            <w:pPr>
              <w:jc w:val="right"/>
              <w:rPr>
                <w:lang w:eastAsia="en-US"/>
              </w:rPr>
            </w:pPr>
            <w:r>
              <w:rPr>
                <w:lang w:eastAsia="en-US"/>
              </w:rPr>
              <w:t>40,885</w:t>
            </w:r>
          </w:p>
          <w:p w:rsidR="00CE58F0" w:rsidRDefault="00CE58F0" w:rsidP="00413B8D">
            <w:pPr>
              <w:jc w:val="right"/>
              <w:rPr>
                <w:lang w:eastAsia="en-US"/>
              </w:rPr>
            </w:pPr>
            <w:r>
              <w:rPr>
                <w:lang w:eastAsia="en-US"/>
              </w:rPr>
              <w:t>49,837</w:t>
            </w:r>
          </w:p>
        </w:tc>
      </w:tr>
      <w:tr w:rsidR="00CE58F0" w:rsidTr="00413B8D">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CE58F0" w:rsidRDefault="00CE58F0" w:rsidP="00413B8D">
            <w:pPr>
              <w:pStyle w:val="ListParagraph"/>
              <w:rPr>
                <w:lang w:eastAsia="en-US"/>
              </w:rPr>
            </w:pPr>
            <w:r>
              <w:rPr>
                <w:lang w:eastAsia="en-US"/>
              </w:rPr>
              <w:t>Preserved Pensions</w:t>
            </w:r>
          </w:p>
        </w:tc>
        <w:tc>
          <w:tcPr>
            <w:tcW w:w="2552" w:type="dxa"/>
            <w:vMerge/>
            <w:tcBorders>
              <w:left w:val="single" w:sz="18" w:space="0" w:color="auto"/>
              <w:bottom w:val="single" w:sz="18" w:space="0" w:color="auto"/>
              <w:right w:val="single" w:sz="18" w:space="0" w:color="auto"/>
            </w:tcBorders>
          </w:tcPr>
          <w:p w:rsidR="00CE58F0" w:rsidRDefault="00CE58F0" w:rsidP="00413B8D">
            <w:pPr>
              <w:jc w:val="right"/>
              <w:rPr>
                <w:lang w:eastAsia="en-US"/>
              </w:rPr>
            </w:pPr>
          </w:p>
        </w:tc>
        <w:tc>
          <w:tcPr>
            <w:tcW w:w="2268" w:type="dxa"/>
            <w:vMerge/>
            <w:tcBorders>
              <w:left w:val="single" w:sz="18" w:space="0" w:color="auto"/>
              <w:bottom w:val="single" w:sz="18" w:space="0" w:color="auto"/>
              <w:right w:val="single" w:sz="18" w:space="0" w:color="auto"/>
            </w:tcBorders>
          </w:tcPr>
          <w:p w:rsidR="00CE58F0" w:rsidRDefault="00CE58F0" w:rsidP="00413B8D">
            <w:pPr>
              <w:jc w:val="right"/>
              <w:rPr>
                <w:lang w:eastAsia="en-US"/>
              </w:rPr>
            </w:pPr>
          </w:p>
        </w:tc>
      </w:tr>
      <w:tr w:rsidR="00CE58F0" w:rsidRPr="001D5977" w:rsidTr="00413B8D">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CE58F0" w:rsidRPr="001D5977" w:rsidRDefault="00CE58F0" w:rsidP="00413B8D">
            <w:pPr>
              <w:pStyle w:val="ListParagraph"/>
              <w:rPr>
                <w:b/>
                <w:lang w:eastAsia="en-US"/>
              </w:rPr>
            </w:pPr>
            <w:r w:rsidRPr="001D5977">
              <w:rPr>
                <w:b/>
                <w:lang w:eastAsia="en-US"/>
              </w:rPr>
              <w:t>Total</w:t>
            </w:r>
          </w:p>
        </w:tc>
        <w:tc>
          <w:tcPr>
            <w:tcW w:w="2552" w:type="dxa"/>
            <w:tcBorders>
              <w:top w:val="single" w:sz="18" w:space="0" w:color="auto"/>
              <w:left w:val="single" w:sz="18" w:space="0" w:color="auto"/>
              <w:bottom w:val="single" w:sz="18" w:space="0" w:color="auto"/>
              <w:right w:val="single" w:sz="18" w:space="0" w:color="auto"/>
            </w:tcBorders>
          </w:tcPr>
          <w:p w:rsidR="00CE58F0" w:rsidRPr="001D5977" w:rsidRDefault="00CE58F0" w:rsidP="00413B8D">
            <w:pPr>
              <w:jc w:val="right"/>
              <w:rPr>
                <w:b/>
                <w:lang w:eastAsia="en-US"/>
              </w:rPr>
            </w:pPr>
            <w:r>
              <w:rPr>
                <w:b/>
                <w:lang w:eastAsia="en-US"/>
              </w:rPr>
              <w:t>96,173</w:t>
            </w:r>
          </w:p>
        </w:tc>
        <w:tc>
          <w:tcPr>
            <w:tcW w:w="2268" w:type="dxa"/>
            <w:tcBorders>
              <w:top w:val="single" w:sz="18" w:space="0" w:color="auto"/>
              <w:left w:val="single" w:sz="18" w:space="0" w:color="auto"/>
              <w:bottom w:val="single" w:sz="18" w:space="0" w:color="auto"/>
              <w:right w:val="single" w:sz="18" w:space="0" w:color="auto"/>
            </w:tcBorders>
          </w:tcPr>
          <w:p w:rsidR="00CE58F0" w:rsidRPr="001D5977" w:rsidRDefault="00CE58F0" w:rsidP="00413B8D">
            <w:pPr>
              <w:jc w:val="right"/>
              <w:rPr>
                <w:b/>
                <w:lang w:eastAsia="en-US"/>
              </w:rPr>
            </w:pPr>
            <w:r>
              <w:rPr>
                <w:b/>
                <w:lang w:eastAsia="en-US"/>
              </w:rPr>
              <w:t>90,722</w:t>
            </w:r>
          </w:p>
        </w:tc>
      </w:tr>
      <w:tr w:rsidR="00CE58F0" w:rsidRPr="001D5977" w:rsidTr="00413B8D">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CE58F0" w:rsidRPr="001D5977" w:rsidRDefault="00CE58F0" w:rsidP="00413B8D">
            <w:pPr>
              <w:pStyle w:val="ListParagraph"/>
              <w:rPr>
                <w:b/>
                <w:lang w:eastAsia="en-US"/>
              </w:rPr>
            </w:pPr>
          </w:p>
        </w:tc>
        <w:tc>
          <w:tcPr>
            <w:tcW w:w="2552" w:type="dxa"/>
            <w:tcBorders>
              <w:top w:val="single" w:sz="18" w:space="0" w:color="auto"/>
              <w:left w:val="single" w:sz="18" w:space="0" w:color="auto"/>
              <w:bottom w:val="single" w:sz="18" w:space="0" w:color="auto"/>
              <w:right w:val="single" w:sz="18" w:space="0" w:color="auto"/>
            </w:tcBorders>
          </w:tcPr>
          <w:p w:rsidR="00CE58F0" w:rsidRDefault="00CE58F0" w:rsidP="00413B8D">
            <w:pPr>
              <w:jc w:val="right"/>
              <w:rPr>
                <w:b/>
                <w:lang w:eastAsia="en-US"/>
              </w:rPr>
            </w:pPr>
          </w:p>
        </w:tc>
        <w:tc>
          <w:tcPr>
            <w:tcW w:w="2268" w:type="dxa"/>
            <w:tcBorders>
              <w:top w:val="single" w:sz="18" w:space="0" w:color="auto"/>
              <w:left w:val="single" w:sz="18" w:space="0" w:color="auto"/>
              <w:bottom w:val="single" w:sz="18" w:space="0" w:color="auto"/>
              <w:right w:val="single" w:sz="18" w:space="0" w:color="auto"/>
            </w:tcBorders>
          </w:tcPr>
          <w:p w:rsidR="00CE58F0" w:rsidRDefault="00CE58F0" w:rsidP="00413B8D">
            <w:pPr>
              <w:jc w:val="right"/>
              <w:rPr>
                <w:b/>
                <w:lang w:eastAsia="en-US"/>
              </w:rPr>
            </w:pPr>
          </w:p>
        </w:tc>
      </w:tr>
      <w:tr w:rsidR="00CE58F0" w:rsidRPr="001D5977" w:rsidTr="00413B8D">
        <w:tc>
          <w:tcPr>
            <w:tcW w:w="4111" w:type="dxa"/>
            <w:tcBorders>
              <w:top w:val="single" w:sz="18" w:space="0" w:color="FFFFFF" w:themeColor="background1"/>
              <w:left w:val="single" w:sz="18" w:space="0" w:color="auto"/>
              <w:bottom w:val="single" w:sz="18" w:space="0" w:color="auto"/>
              <w:right w:val="single" w:sz="18" w:space="0" w:color="auto"/>
            </w:tcBorders>
          </w:tcPr>
          <w:p w:rsidR="00CE58F0" w:rsidRPr="001D5977" w:rsidRDefault="00CE58F0" w:rsidP="00413B8D">
            <w:pPr>
              <w:pStyle w:val="ListParagraph"/>
              <w:rPr>
                <w:b/>
                <w:lang w:eastAsia="en-US"/>
              </w:rPr>
            </w:pPr>
            <w:r>
              <w:rPr>
                <w:b/>
                <w:lang w:eastAsia="en-US"/>
              </w:rPr>
              <w:t>Total membership</w:t>
            </w:r>
          </w:p>
        </w:tc>
        <w:tc>
          <w:tcPr>
            <w:tcW w:w="2552" w:type="dxa"/>
            <w:tcBorders>
              <w:top w:val="single" w:sz="18" w:space="0" w:color="auto"/>
              <w:left w:val="single" w:sz="18" w:space="0" w:color="auto"/>
              <w:bottom w:val="single" w:sz="18" w:space="0" w:color="auto"/>
              <w:right w:val="single" w:sz="18" w:space="0" w:color="auto"/>
            </w:tcBorders>
          </w:tcPr>
          <w:p w:rsidR="00CE58F0" w:rsidRDefault="00CE58F0" w:rsidP="00413B8D">
            <w:pPr>
              <w:jc w:val="right"/>
              <w:rPr>
                <w:b/>
                <w:lang w:eastAsia="en-US"/>
              </w:rPr>
            </w:pPr>
            <w:r>
              <w:rPr>
                <w:b/>
                <w:lang w:eastAsia="en-US"/>
              </w:rPr>
              <w:t>150,917</w:t>
            </w:r>
          </w:p>
        </w:tc>
        <w:tc>
          <w:tcPr>
            <w:tcW w:w="2268" w:type="dxa"/>
            <w:tcBorders>
              <w:top w:val="single" w:sz="18" w:space="0" w:color="auto"/>
              <w:left w:val="single" w:sz="18" w:space="0" w:color="auto"/>
              <w:bottom w:val="single" w:sz="18" w:space="0" w:color="auto"/>
              <w:right w:val="single" w:sz="18" w:space="0" w:color="auto"/>
            </w:tcBorders>
          </w:tcPr>
          <w:p w:rsidR="00CE58F0" w:rsidRDefault="00CE58F0" w:rsidP="00413B8D">
            <w:pPr>
              <w:jc w:val="right"/>
              <w:rPr>
                <w:b/>
                <w:lang w:eastAsia="en-US"/>
              </w:rPr>
            </w:pPr>
            <w:r>
              <w:rPr>
                <w:b/>
                <w:lang w:eastAsia="en-US"/>
              </w:rPr>
              <w:t>143,685</w:t>
            </w:r>
          </w:p>
        </w:tc>
      </w:tr>
    </w:tbl>
    <w:p w:rsidR="00CE58F0" w:rsidRDefault="00CE58F0" w:rsidP="00CE58F0"/>
    <w:p w:rsidR="00CE58F0" w:rsidRDefault="00CE58F0" w:rsidP="00CE58F0">
      <w:pPr>
        <w:ind w:left="360"/>
      </w:pPr>
    </w:p>
    <w:p w:rsidR="00CE58F0" w:rsidRDefault="00CE58F0" w:rsidP="00726E6C">
      <w:pPr>
        <w:pStyle w:val="ListParagraph"/>
        <w:numPr>
          <w:ilvl w:val="0"/>
          <w:numId w:val="13"/>
        </w:numPr>
        <w:ind w:left="709"/>
        <w:rPr>
          <w:b/>
        </w:rPr>
      </w:pPr>
      <w:r w:rsidRPr="000B6D62">
        <w:rPr>
          <w:b/>
        </w:rPr>
        <w:t>Funding</w:t>
      </w:r>
    </w:p>
    <w:p w:rsidR="00CE58F0" w:rsidRDefault="00CE58F0" w:rsidP="00CE58F0">
      <w:pPr>
        <w:ind w:left="709"/>
      </w:pPr>
    </w:p>
    <w:p w:rsidR="00CE58F0" w:rsidRDefault="00CE58F0" w:rsidP="00CE58F0">
      <w:pPr>
        <w:ind w:left="709"/>
      </w:pPr>
      <w:r w:rsidRPr="000B6D62">
        <w:t>Benefits</w:t>
      </w:r>
      <w:r>
        <w:t xml:space="preserve"> are funded by contributions and investment earnings.  Contributions are made by active members of the fund in accordance with the LGPS (Benefits, Membership and Contributions) Regulations 2007 and range from 5.5% to 7.5% of pensionable pay for the financial year ending 31 March 2014.  Employee contributions are matched by employers' contributions which are set based on triennial actuarial funding valuations.  The last valuation relevant to the year ended 31</w:t>
      </w:r>
      <w:r w:rsidRPr="000C15C5">
        <w:rPr>
          <w:vertAlign w:val="superscript"/>
        </w:rPr>
        <w:t>st</w:t>
      </w:r>
      <w:r>
        <w:t xml:space="preserve"> March 2014 was done at 31 March 2010.  The latest valuation was carried out at 31</w:t>
      </w:r>
      <w:r w:rsidRPr="000C15C5">
        <w:rPr>
          <w:vertAlign w:val="superscript"/>
        </w:rPr>
        <w:t>st</w:t>
      </w:r>
      <w:r>
        <w:t xml:space="preserve"> March 2013 and will be applicable for 3 financial years commencing 1</w:t>
      </w:r>
      <w:r w:rsidRPr="000C15C5">
        <w:rPr>
          <w:vertAlign w:val="superscript"/>
        </w:rPr>
        <w:t>st</w:t>
      </w:r>
      <w:r>
        <w:t xml:space="preserve"> April 2014.  Currently employer contributions range from 8.6% to 70.3% of pensionable pay. </w:t>
      </w:r>
    </w:p>
    <w:p w:rsidR="00CE58F0" w:rsidRDefault="00CE58F0" w:rsidP="00CE58F0">
      <w:pPr>
        <w:ind w:left="709"/>
      </w:pPr>
    </w:p>
    <w:p w:rsidR="00CE58F0" w:rsidRDefault="00CE58F0" w:rsidP="0076770B">
      <w:pPr>
        <w:pStyle w:val="ListParagraph"/>
        <w:numPr>
          <w:ilvl w:val="0"/>
          <w:numId w:val="13"/>
        </w:numPr>
        <w:tabs>
          <w:tab w:val="left" w:pos="851"/>
        </w:tabs>
        <w:ind w:left="426" w:firstLine="0"/>
        <w:rPr>
          <w:b/>
        </w:rPr>
      </w:pPr>
      <w:r w:rsidRPr="00445A0E">
        <w:rPr>
          <w:b/>
        </w:rPr>
        <w:t>Benefits</w:t>
      </w:r>
    </w:p>
    <w:p w:rsidR="00CE58F0" w:rsidRDefault="00CE58F0" w:rsidP="00CE58F0">
      <w:pPr>
        <w:ind w:left="720"/>
        <w:rPr>
          <w:b/>
        </w:rPr>
      </w:pPr>
    </w:p>
    <w:p w:rsidR="00CE58F0" w:rsidRPr="002A4BFE" w:rsidRDefault="00CE58F0" w:rsidP="00CE58F0">
      <w:pPr>
        <w:ind w:left="720"/>
      </w:pPr>
      <w:r w:rsidRPr="002A4BFE">
        <w:t>Pension benefits under the LGPS are based on final pensionable pay and length of pensionable service in the following summary:</w:t>
      </w:r>
    </w:p>
    <w:p w:rsidR="00CE58F0" w:rsidRDefault="00CE58F0" w:rsidP="00CE58F0">
      <w:pPr>
        <w:ind w:left="720"/>
      </w:pPr>
    </w:p>
    <w:p w:rsidR="00136FB0" w:rsidRDefault="00136FB0" w:rsidP="00CE58F0">
      <w:pPr>
        <w:ind w:left="720"/>
      </w:pPr>
    </w:p>
    <w:p w:rsidR="0076770B" w:rsidRDefault="0076770B" w:rsidP="00CE58F0">
      <w:pPr>
        <w:ind w:left="720"/>
      </w:pPr>
    </w:p>
    <w:p w:rsidR="0076770B" w:rsidRDefault="0076770B" w:rsidP="00CE58F0">
      <w:pPr>
        <w:ind w:left="720"/>
      </w:pPr>
    </w:p>
    <w:p w:rsidR="00136FB0" w:rsidRDefault="00136FB0" w:rsidP="00CE58F0">
      <w:pPr>
        <w:ind w:left="720"/>
      </w:pPr>
    </w:p>
    <w:p w:rsidR="00136FB0" w:rsidRDefault="00136FB0" w:rsidP="00CE58F0">
      <w:pPr>
        <w:ind w:left="720"/>
      </w:pPr>
    </w:p>
    <w:p w:rsidR="00136FB0" w:rsidRPr="002A4BFE" w:rsidRDefault="00136FB0" w:rsidP="00CE58F0">
      <w:pPr>
        <w:ind w:left="720"/>
      </w:pPr>
    </w:p>
    <w:tbl>
      <w:tblPr>
        <w:tblStyle w:val="TableGrid"/>
        <w:tblW w:w="0" w:type="auto"/>
        <w:tblInd w:w="720" w:type="dxa"/>
        <w:tblLook w:val="04A0" w:firstRow="1" w:lastRow="0" w:firstColumn="1" w:lastColumn="0" w:noHBand="0" w:noVBand="1"/>
      </w:tblPr>
      <w:tblGrid>
        <w:gridCol w:w="1762"/>
        <w:gridCol w:w="3831"/>
        <w:gridCol w:w="4045"/>
      </w:tblGrid>
      <w:tr w:rsidR="00CE58F0" w:rsidRPr="002A4BFE" w:rsidTr="00413B8D">
        <w:trPr>
          <w:trHeight w:val="521"/>
        </w:trPr>
        <w:tc>
          <w:tcPr>
            <w:tcW w:w="1798" w:type="dxa"/>
          </w:tcPr>
          <w:p w:rsidR="00CE58F0" w:rsidRPr="002A4BFE" w:rsidRDefault="00CE58F0" w:rsidP="00413B8D"/>
        </w:tc>
        <w:tc>
          <w:tcPr>
            <w:tcW w:w="3969" w:type="dxa"/>
          </w:tcPr>
          <w:p w:rsidR="00CE58F0" w:rsidRPr="002A4BFE" w:rsidRDefault="00CE58F0" w:rsidP="00413B8D">
            <w:pPr>
              <w:rPr>
                <w:b/>
              </w:rPr>
            </w:pPr>
            <w:r w:rsidRPr="002A4BFE">
              <w:rPr>
                <w:b/>
              </w:rPr>
              <w:t>Service Pre 1 April 2008</w:t>
            </w:r>
          </w:p>
        </w:tc>
        <w:tc>
          <w:tcPr>
            <w:tcW w:w="4195" w:type="dxa"/>
          </w:tcPr>
          <w:p w:rsidR="00CE58F0" w:rsidRPr="002A4BFE" w:rsidRDefault="00CE58F0" w:rsidP="00413B8D">
            <w:pPr>
              <w:rPr>
                <w:b/>
              </w:rPr>
            </w:pPr>
            <w:r w:rsidRPr="002A4BFE">
              <w:rPr>
                <w:b/>
              </w:rPr>
              <w:t>Service post 31 March 2008</w:t>
            </w:r>
          </w:p>
        </w:tc>
      </w:tr>
      <w:tr w:rsidR="00CE58F0" w:rsidRPr="002A4BFE" w:rsidTr="00413B8D">
        <w:trPr>
          <w:trHeight w:val="841"/>
        </w:trPr>
        <w:tc>
          <w:tcPr>
            <w:tcW w:w="1798" w:type="dxa"/>
          </w:tcPr>
          <w:p w:rsidR="00CE58F0" w:rsidRPr="002A4BFE" w:rsidRDefault="00CE58F0" w:rsidP="00413B8D">
            <w:pPr>
              <w:rPr>
                <w:b/>
              </w:rPr>
            </w:pPr>
            <w:r w:rsidRPr="002A4BFE">
              <w:rPr>
                <w:b/>
              </w:rPr>
              <w:t>Pension</w:t>
            </w:r>
          </w:p>
        </w:tc>
        <w:tc>
          <w:tcPr>
            <w:tcW w:w="3969" w:type="dxa"/>
          </w:tcPr>
          <w:p w:rsidR="00CE58F0" w:rsidRPr="002A4BFE" w:rsidRDefault="00CE58F0" w:rsidP="00413B8D">
            <w:r w:rsidRPr="002A4BFE">
              <w:t>Each year worked is worth 1/80 x final pensionable salary</w:t>
            </w:r>
          </w:p>
        </w:tc>
        <w:tc>
          <w:tcPr>
            <w:tcW w:w="4195" w:type="dxa"/>
          </w:tcPr>
          <w:p w:rsidR="00CE58F0" w:rsidRPr="002A4BFE" w:rsidRDefault="00CE58F0" w:rsidP="00413B8D">
            <w:r w:rsidRPr="002A4BFE">
              <w:t>Each year worked is worth 1/60 x final pensionable salary</w:t>
            </w:r>
          </w:p>
        </w:tc>
      </w:tr>
      <w:tr w:rsidR="00CE58F0" w:rsidTr="00413B8D">
        <w:trPr>
          <w:trHeight w:val="1972"/>
        </w:trPr>
        <w:tc>
          <w:tcPr>
            <w:tcW w:w="1798" w:type="dxa"/>
          </w:tcPr>
          <w:p w:rsidR="00CE58F0" w:rsidRPr="002A4BFE" w:rsidRDefault="00CE58F0" w:rsidP="00413B8D">
            <w:pPr>
              <w:rPr>
                <w:b/>
              </w:rPr>
            </w:pPr>
            <w:r w:rsidRPr="002A4BFE">
              <w:rPr>
                <w:b/>
              </w:rPr>
              <w:t>Lump sum</w:t>
            </w:r>
          </w:p>
        </w:tc>
        <w:tc>
          <w:tcPr>
            <w:tcW w:w="3969" w:type="dxa"/>
          </w:tcPr>
          <w:p w:rsidR="00CE58F0" w:rsidRPr="002A4BFE" w:rsidRDefault="00CE58F0" w:rsidP="00413B8D">
            <w:r w:rsidRPr="002A4BFE">
              <w:t>Automatic lump sum of 3 x salary.</w:t>
            </w:r>
          </w:p>
          <w:p w:rsidR="00CE58F0" w:rsidRPr="002A4BFE" w:rsidRDefault="00CE58F0" w:rsidP="00413B8D">
            <w:r w:rsidRPr="002A4BFE">
              <w:t>In addition, part of the annual pension can be exchanged for a one-off tax free cash payment.  A lump sum of £12 is paid for each £1 of pension given up</w:t>
            </w:r>
          </w:p>
        </w:tc>
        <w:tc>
          <w:tcPr>
            <w:tcW w:w="4195" w:type="dxa"/>
          </w:tcPr>
          <w:p w:rsidR="00CE58F0" w:rsidRPr="002A4BFE" w:rsidRDefault="00CE58F0" w:rsidP="00413B8D">
            <w:r w:rsidRPr="002A4BFE">
              <w:t>No automatic lump sum.</w:t>
            </w:r>
          </w:p>
          <w:p w:rsidR="00CE58F0" w:rsidRDefault="00CE58F0" w:rsidP="00413B8D">
            <w:r w:rsidRPr="002A4BFE">
              <w:t>Part of the annual pension can be exchanged for a one-off tax free cash payment.  A lump sum of £12 is paid for each £1 of pension given up</w:t>
            </w:r>
          </w:p>
        </w:tc>
      </w:tr>
    </w:tbl>
    <w:p w:rsidR="00CE58F0" w:rsidRDefault="00CE58F0" w:rsidP="00CE58F0">
      <w:pPr>
        <w:ind w:left="720"/>
      </w:pPr>
    </w:p>
    <w:p w:rsidR="00CE58F0" w:rsidRDefault="00CE58F0" w:rsidP="00CE58F0">
      <w:pPr>
        <w:ind w:left="720"/>
      </w:pPr>
      <w:r w:rsidRPr="002A4BFE">
        <w:t xml:space="preserve">There are a range of other benefits provided under the scheme including early retirement, disability pensions and death benefits.  </w:t>
      </w:r>
    </w:p>
    <w:p w:rsidR="00CE58F0" w:rsidRDefault="00CE58F0" w:rsidP="00CE58F0">
      <w:pPr>
        <w:ind w:left="720"/>
      </w:pPr>
    </w:p>
    <w:p w:rsidR="00CE58F0" w:rsidRDefault="00CE58F0" w:rsidP="00CE58F0">
      <w:pPr>
        <w:ind w:left="720"/>
      </w:pPr>
      <w:r w:rsidRPr="002A4BFE">
        <w:t>Benefits are index-linked in order to keep pace with inflation.  In June 2010, the government announced that the method of indexation would change from the retail price index to the consumer price index.  This change took effect from 1 April 2011.</w:t>
      </w:r>
    </w:p>
    <w:p w:rsidR="00CE58F0" w:rsidRPr="00053D4B" w:rsidRDefault="00CE58F0" w:rsidP="00CE58F0">
      <w:pPr>
        <w:ind w:left="720"/>
        <w:rPr>
          <w:highlight w:val="yellow"/>
        </w:rPr>
      </w:pPr>
    </w:p>
    <w:p w:rsidR="00CE58F0" w:rsidRDefault="00CE58F0" w:rsidP="00CE58F0">
      <w:pPr>
        <w:ind w:left="720"/>
        <w:rPr>
          <w:b/>
        </w:rPr>
      </w:pPr>
      <w:r w:rsidRPr="002A4BFE">
        <w:rPr>
          <w:b/>
        </w:rPr>
        <w:t>LGPS 2014</w:t>
      </w:r>
    </w:p>
    <w:p w:rsidR="00CE58F0" w:rsidRPr="002A4BFE" w:rsidRDefault="00CE58F0" w:rsidP="00CE58F0">
      <w:pPr>
        <w:ind w:left="720"/>
        <w:rPr>
          <w:b/>
        </w:rPr>
      </w:pPr>
    </w:p>
    <w:p w:rsidR="00CE58F0" w:rsidRPr="00463FB7" w:rsidRDefault="00CE58F0" w:rsidP="00CE58F0">
      <w:pPr>
        <w:autoSpaceDE w:val="0"/>
        <w:autoSpaceDN w:val="0"/>
        <w:adjustRightInd w:val="0"/>
        <w:ind w:left="720"/>
        <w:rPr>
          <w:rFonts w:cs="Arial"/>
          <w:color w:val="000000"/>
          <w:szCs w:val="24"/>
        </w:rPr>
      </w:pPr>
      <w:r w:rsidRPr="00463FB7">
        <w:rPr>
          <w:rFonts w:cs="Arial"/>
          <w:color w:val="000000"/>
          <w:szCs w:val="24"/>
        </w:rPr>
        <w:t>During the year significant legislative change</w:t>
      </w:r>
      <w:r>
        <w:rPr>
          <w:rFonts w:cs="Arial"/>
          <w:color w:val="000000"/>
          <w:szCs w:val="24"/>
        </w:rPr>
        <w:t xml:space="preserve"> encompassed </w:t>
      </w:r>
      <w:r w:rsidRPr="00463FB7">
        <w:rPr>
          <w:rFonts w:cs="Arial"/>
          <w:color w:val="000000"/>
          <w:szCs w:val="24"/>
        </w:rPr>
        <w:t xml:space="preserve">the introduction of </w:t>
      </w:r>
      <w:r>
        <w:rPr>
          <w:rFonts w:cs="Arial"/>
          <w:color w:val="000000"/>
          <w:szCs w:val="24"/>
        </w:rPr>
        <w:t xml:space="preserve">the </w:t>
      </w:r>
      <w:r w:rsidRPr="00463FB7">
        <w:rPr>
          <w:rFonts w:cs="Arial"/>
          <w:color w:val="000000"/>
          <w:szCs w:val="24"/>
        </w:rPr>
        <w:t>new Local Government Pension Scheme</w:t>
      </w:r>
      <w:r>
        <w:rPr>
          <w:rFonts w:cs="Arial"/>
          <w:color w:val="000000"/>
          <w:szCs w:val="24"/>
        </w:rPr>
        <w:t xml:space="preserve"> with effect from </w:t>
      </w:r>
      <w:r w:rsidRPr="00463FB7">
        <w:rPr>
          <w:rFonts w:cs="Arial"/>
          <w:color w:val="000000"/>
          <w:szCs w:val="24"/>
        </w:rPr>
        <w:t>1 April 2014.</w:t>
      </w:r>
    </w:p>
    <w:p w:rsidR="00CE58F0" w:rsidRPr="00463FB7" w:rsidRDefault="00CE58F0" w:rsidP="00CE58F0">
      <w:pPr>
        <w:autoSpaceDE w:val="0"/>
        <w:autoSpaceDN w:val="0"/>
        <w:adjustRightInd w:val="0"/>
        <w:ind w:left="720"/>
        <w:rPr>
          <w:rFonts w:cs="Arial"/>
          <w:color w:val="000000"/>
          <w:szCs w:val="24"/>
        </w:rPr>
      </w:pPr>
    </w:p>
    <w:p w:rsidR="00CE58F0" w:rsidRPr="00463FB7" w:rsidRDefault="00CE58F0" w:rsidP="00CE58F0">
      <w:pPr>
        <w:autoSpaceDE w:val="0"/>
        <w:autoSpaceDN w:val="0"/>
        <w:adjustRightInd w:val="0"/>
        <w:ind w:left="720"/>
        <w:rPr>
          <w:rFonts w:cs="Arial"/>
          <w:color w:val="000000"/>
          <w:szCs w:val="24"/>
        </w:rPr>
      </w:pPr>
      <w:r>
        <w:rPr>
          <w:rFonts w:cs="Arial"/>
          <w:color w:val="000000"/>
          <w:szCs w:val="24"/>
        </w:rPr>
        <w:t>T</w:t>
      </w:r>
      <w:r w:rsidRPr="00463FB7">
        <w:rPr>
          <w:rFonts w:cs="Arial"/>
          <w:color w:val="000000"/>
          <w:szCs w:val="24"/>
        </w:rPr>
        <w:t xml:space="preserve">he Public Service Pensions Act received royal assent on 25 April 2013 </w:t>
      </w:r>
      <w:r>
        <w:rPr>
          <w:rFonts w:cs="Arial"/>
          <w:color w:val="000000"/>
          <w:szCs w:val="24"/>
        </w:rPr>
        <w:t xml:space="preserve">setting </w:t>
      </w:r>
      <w:r w:rsidRPr="00463FB7">
        <w:rPr>
          <w:rFonts w:cs="Arial"/>
          <w:color w:val="000000"/>
          <w:szCs w:val="24"/>
        </w:rPr>
        <w:t xml:space="preserve">out the </w:t>
      </w:r>
      <w:r>
        <w:rPr>
          <w:rFonts w:cs="Arial"/>
          <w:color w:val="000000"/>
          <w:szCs w:val="24"/>
        </w:rPr>
        <w:t xml:space="preserve">new </w:t>
      </w:r>
      <w:r w:rsidRPr="00463FB7">
        <w:rPr>
          <w:rFonts w:cs="Arial"/>
          <w:color w:val="000000"/>
          <w:szCs w:val="24"/>
        </w:rPr>
        <w:t xml:space="preserve">legal framework </w:t>
      </w:r>
      <w:r>
        <w:rPr>
          <w:rFonts w:cs="Arial"/>
          <w:color w:val="000000"/>
          <w:szCs w:val="24"/>
        </w:rPr>
        <w:t>for</w:t>
      </w:r>
      <w:r w:rsidRPr="00463FB7">
        <w:rPr>
          <w:rFonts w:cs="Arial"/>
          <w:color w:val="000000"/>
          <w:szCs w:val="24"/>
        </w:rPr>
        <w:t xml:space="preserve"> public service pension schemes</w:t>
      </w:r>
      <w:r>
        <w:rPr>
          <w:rFonts w:cs="Arial"/>
          <w:color w:val="000000"/>
          <w:szCs w:val="24"/>
        </w:rPr>
        <w:t>, including the LGPS</w:t>
      </w:r>
      <w:r w:rsidRPr="00463FB7">
        <w:rPr>
          <w:rFonts w:cs="Arial"/>
          <w:color w:val="000000"/>
          <w:szCs w:val="24"/>
        </w:rPr>
        <w:t xml:space="preserve">. The Act </w:t>
      </w:r>
      <w:r>
        <w:rPr>
          <w:rFonts w:cs="Arial"/>
          <w:color w:val="000000"/>
          <w:szCs w:val="24"/>
        </w:rPr>
        <w:t>reflects</w:t>
      </w:r>
      <w:r w:rsidRPr="00463FB7">
        <w:rPr>
          <w:rFonts w:cs="Arial"/>
          <w:color w:val="000000"/>
          <w:szCs w:val="24"/>
        </w:rPr>
        <w:t xml:space="preserve"> the recommendations made by the Independent Public Service Pension Commission chaired by Lord Hutton.</w:t>
      </w:r>
    </w:p>
    <w:p w:rsidR="00CE58F0" w:rsidRDefault="00CE58F0" w:rsidP="00CE58F0">
      <w:pPr>
        <w:spacing w:before="100" w:beforeAutospacing="1" w:after="100" w:afterAutospacing="1"/>
        <w:ind w:left="720"/>
        <w:rPr>
          <w:rFonts w:cs="Arial"/>
          <w:szCs w:val="24"/>
        </w:rPr>
      </w:pPr>
      <w:r>
        <w:rPr>
          <w:rFonts w:cs="Arial"/>
          <w:szCs w:val="24"/>
        </w:rPr>
        <w:t>A</w:t>
      </w:r>
      <w:r w:rsidRPr="00463FB7">
        <w:rPr>
          <w:rFonts w:cs="Arial"/>
          <w:szCs w:val="24"/>
        </w:rPr>
        <w:t xml:space="preserve">fter completing </w:t>
      </w:r>
      <w:r>
        <w:rPr>
          <w:rFonts w:cs="Arial"/>
          <w:szCs w:val="24"/>
        </w:rPr>
        <w:t xml:space="preserve">a </w:t>
      </w:r>
      <w:r w:rsidRPr="00463FB7">
        <w:rPr>
          <w:rFonts w:cs="Arial"/>
          <w:szCs w:val="24"/>
        </w:rPr>
        <w:t xml:space="preserve">statutory consultation in August 2013, legislation outlining the LGPS rules from 1 April 2014 was made </w:t>
      </w:r>
      <w:r>
        <w:rPr>
          <w:rFonts w:cs="Arial"/>
          <w:szCs w:val="24"/>
        </w:rPr>
        <w:t xml:space="preserve">to </w:t>
      </w:r>
      <w:r w:rsidRPr="00463FB7">
        <w:rPr>
          <w:rFonts w:cs="Arial"/>
          <w:szCs w:val="24"/>
        </w:rPr>
        <w:t>provide:</w:t>
      </w:r>
    </w:p>
    <w:p w:rsidR="00CE58F0" w:rsidRPr="00097050" w:rsidRDefault="00CE58F0" w:rsidP="00726E6C">
      <w:pPr>
        <w:pStyle w:val="ListParagraph"/>
        <w:numPr>
          <w:ilvl w:val="0"/>
          <w:numId w:val="22"/>
        </w:numPr>
        <w:spacing w:before="100" w:beforeAutospacing="1" w:after="100" w:afterAutospacing="1"/>
        <w:ind w:firstLine="207"/>
      </w:pPr>
      <w:r w:rsidRPr="00097050">
        <w:t>a pension scheme design based on career average pay</w:t>
      </w:r>
    </w:p>
    <w:p w:rsidR="00CE58F0" w:rsidRPr="00097050" w:rsidRDefault="00CE58F0" w:rsidP="00726E6C">
      <w:pPr>
        <w:pStyle w:val="ListParagraph"/>
        <w:numPr>
          <w:ilvl w:val="0"/>
          <w:numId w:val="22"/>
        </w:numPr>
        <w:spacing w:before="100" w:beforeAutospacing="1" w:after="100" w:afterAutospacing="1"/>
        <w:ind w:firstLine="207"/>
      </w:pPr>
      <w:r w:rsidRPr="00097050">
        <w:t xml:space="preserve">an accrual rate of 1/49th of pensionable </w:t>
      </w:r>
      <w:r>
        <w:t xml:space="preserve">pay </w:t>
      </w:r>
    </w:p>
    <w:p w:rsidR="00CE58F0" w:rsidRPr="00097050" w:rsidRDefault="00CE58F0" w:rsidP="00726E6C">
      <w:pPr>
        <w:pStyle w:val="ListParagraph"/>
        <w:numPr>
          <w:ilvl w:val="0"/>
          <w:numId w:val="22"/>
        </w:numPr>
        <w:spacing w:before="100" w:beforeAutospacing="1" w:after="100" w:afterAutospacing="1"/>
        <w:ind w:firstLine="207"/>
      </w:pPr>
      <w:r w:rsidRPr="00097050">
        <w:t xml:space="preserve">revaluation of benefits in line with </w:t>
      </w:r>
      <w:r>
        <w:t>the CPI</w:t>
      </w:r>
    </w:p>
    <w:p w:rsidR="00CE58F0" w:rsidRDefault="00CE58F0" w:rsidP="00726E6C">
      <w:pPr>
        <w:pStyle w:val="ListParagraph"/>
        <w:numPr>
          <w:ilvl w:val="0"/>
          <w:numId w:val="22"/>
        </w:numPr>
        <w:autoSpaceDE w:val="0"/>
        <w:autoSpaceDN w:val="0"/>
        <w:adjustRightInd w:val="0"/>
        <w:ind w:firstLine="207"/>
      </w:pPr>
      <w:r>
        <w:t>a N</w:t>
      </w:r>
      <w:r w:rsidRPr="00097050">
        <w:t>ormal Pension Age equal to State Pension Age</w:t>
      </w:r>
      <w:r>
        <w:t xml:space="preserve"> </w:t>
      </w:r>
    </w:p>
    <w:p w:rsidR="00CE58F0" w:rsidRPr="001D4829" w:rsidRDefault="00CE58F0" w:rsidP="00726E6C">
      <w:pPr>
        <w:pStyle w:val="ListParagraph"/>
        <w:numPr>
          <w:ilvl w:val="0"/>
          <w:numId w:val="22"/>
        </w:numPr>
        <w:autoSpaceDE w:val="0"/>
        <w:autoSpaceDN w:val="0"/>
        <w:adjustRightInd w:val="0"/>
        <w:ind w:firstLine="207"/>
      </w:pPr>
      <w:r w:rsidRPr="00097050">
        <w:t xml:space="preserve">an average contribution </w:t>
      </w:r>
      <w:r>
        <w:t>rate of</w:t>
      </w:r>
      <w:r w:rsidRPr="00097050">
        <w:t xml:space="preserve"> 6.5</w:t>
      </w:r>
      <w:r>
        <w:t>%</w:t>
      </w:r>
    </w:p>
    <w:p w:rsidR="00CE58F0" w:rsidRPr="00097050" w:rsidRDefault="00CE58F0" w:rsidP="00F42D35">
      <w:pPr>
        <w:pStyle w:val="ListParagraph"/>
        <w:numPr>
          <w:ilvl w:val="0"/>
          <w:numId w:val="22"/>
        </w:numPr>
        <w:autoSpaceDE w:val="0"/>
        <w:autoSpaceDN w:val="0"/>
        <w:adjustRightInd w:val="0"/>
        <w:ind w:firstLine="207"/>
      </w:pPr>
      <w:r>
        <w:t xml:space="preserve">a new </w:t>
      </w:r>
      <w:r w:rsidRPr="00097050">
        <w:t xml:space="preserve">low cost </w:t>
      </w:r>
      <w:r>
        <w:t xml:space="preserve">50/50 </w:t>
      </w:r>
      <w:r w:rsidRPr="00097050">
        <w:t>option</w:t>
      </w:r>
      <w:r>
        <w:t xml:space="preserve"> where half the contribution rate can be paid in </w:t>
      </w:r>
      <w:r w:rsidR="00B42257">
        <w:tab/>
        <w:t>return for half the benefits</w:t>
      </w:r>
      <w:r>
        <w:t xml:space="preserve">   </w:t>
      </w:r>
    </w:p>
    <w:p w:rsidR="00CE58F0" w:rsidRPr="00097050" w:rsidRDefault="00CE58F0" w:rsidP="00726E6C">
      <w:pPr>
        <w:pStyle w:val="ListParagraph"/>
        <w:numPr>
          <w:ilvl w:val="0"/>
          <w:numId w:val="22"/>
        </w:numPr>
        <w:autoSpaceDE w:val="0"/>
        <w:autoSpaceDN w:val="0"/>
        <w:adjustRightInd w:val="0"/>
        <w:ind w:firstLine="207"/>
      </w:pPr>
      <w:r>
        <w:t>a</w:t>
      </w:r>
      <w:r w:rsidRPr="00097050">
        <w:t xml:space="preserve"> vesting period of two years</w:t>
      </w:r>
    </w:p>
    <w:p w:rsidR="00CE58F0" w:rsidRDefault="00CE58F0" w:rsidP="00CE58F0">
      <w:pPr>
        <w:pStyle w:val="Pa0"/>
        <w:ind w:left="709"/>
        <w:rPr>
          <w:rFonts w:ascii="Arial" w:eastAsia="Times New Roman" w:hAnsi="Arial" w:cs="Times New Roman"/>
          <w:szCs w:val="20"/>
          <w:highlight w:val="yellow"/>
          <w:lang w:eastAsia="en-GB"/>
        </w:rPr>
      </w:pPr>
    </w:p>
    <w:p w:rsidR="00CE58F0" w:rsidRDefault="00CE58F0" w:rsidP="00CE58F0">
      <w:pPr>
        <w:pStyle w:val="Default"/>
        <w:ind w:left="709"/>
        <w:rPr>
          <w:color w:val="auto"/>
        </w:rPr>
      </w:pPr>
      <w:r w:rsidRPr="00502F51">
        <w:t xml:space="preserve"> </w:t>
      </w:r>
      <w:r>
        <w:rPr>
          <w:color w:val="auto"/>
        </w:rPr>
        <w:t>Later in the year legislation was passed to remove access to the Scheme for new councillors from 1 April 2014. Existing councillor members as at 31 March 2014 will leave the Scheme at the end of their current fixed term of office.</w:t>
      </w:r>
    </w:p>
    <w:p w:rsidR="00CE58F0" w:rsidRDefault="00CE58F0" w:rsidP="00CE58F0">
      <w:pPr>
        <w:ind w:left="720"/>
      </w:pPr>
    </w:p>
    <w:p w:rsidR="00CE58F0" w:rsidRDefault="00CE58F0" w:rsidP="00CE58F0">
      <w:pPr>
        <w:ind w:left="720"/>
      </w:pPr>
    </w:p>
    <w:p w:rsidR="00B42257" w:rsidRDefault="00B42257" w:rsidP="00CE58F0">
      <w:pPr>
        <w:ind w:left="720"/>
      </w:pPr>
    </w:p>
    <w:p w:rsidR="00B42257" w:rsidRDefault="00B42257" w:rsidP="00CE58F0">
      <w:pPr>
        <w:ind w:left="720"/>
      </w:pPr>
    </w:p>
    <w:p w:rsidR="0076770B" w:rsidRDefault="0076770B" w:rsidP="00CE58F0">
      <w:pPr>
        <w:ind w:left="720"/>
      </w:pPr>
    </w:p>
    <w:p w:rsidR="00CE58F0" w:rsidRPr="00763799" w:rsidRDefault="00CE58F0" w:rsidP="00CE58F0">
      <w:pPr>
        <w:ind w:left="720"/>
      </w:pPr>
    </w:p>
    <w:p w:rsidR="00CE58F0" w:rsidRPr="00646918" w:rsidRDefault="00CE58F0" w:rsidP="00CE58F0">
      <w:pPr>
        <w:pStyle w:val="ListParagraph"/>
        <w:numPr>
          <w:ilvl w:val="0"/>
          <w:numId w:val="2"/>
        </w:numPr>
        <w:tabs>
          <w:tab w:val="clear" w:pos="720"/>
          <w:tab w:val="left" w:pos="567"/>
          <w:tab w:val="num" w:pos="862"/>
        </w:tabs>
        <w:ind w:left="862"/>
        <w:jc w:val="both"/>
        <w:rPr>
          <w:b/>
        </w:rPr>
      </w:pPr>
      <w:r w:rsidRPr="00646918">
        <w:rPr>
          <w:b/>
        </w:rPr>
        <w:lastRenderedPageBreak/>
        <w:t xml:space="preserve">Basis of Preparation </w:t>
      </w:r>
    </w:p>
    <w:p w:rsidR="00CE58F0" w:rsidRPr="005E107A" w:rsidRDefault="00CE58F0" w:rsidP="00CE58F0">
      <w:pPr>
        <w:tabs>
          <w:tab w:val="left" w:pos="567"/>
        </w:tabs>
        <w:jc w:val="both"/>
        <w:rPr>
          <w:b/>
          <w:szCs w:val="24"/>
        </w:rPr>
      </w:pPr>
    </w:p>
    <w:p w:rsidR="00CE58F0" w:rsidRDefault="00CE58F0" w:rsidP="00CE58F0">
      <w:pPr>
        <w:pStyle w:val="BodyTextIndent"/>
        <w:spacing w:after="0"/>
        <w:ind w:left="567"/>
        <w:rPr>
          <w:szCs w:val="24"/>
        </w:rPr>
      </w:pPr>
      <w:r>
        <w:rPr>
          <w:szCs w:val="24"/>
        </w:rPr>
        <w:t>The Statement of Accounts summarises the fund's transactions for the 2013/14 financial year and its position at year-end as at 31 March 2014.  The accounts</w:t>
      </w:r>
      <w:r w:rsidRPr="00E869DD">
        <w:rPr>
          <w:szCs w:val="24"/>
        </w:rPr>
        <w:t xml:space="preserve"> have been prepared in accordance </w:t>
      </w:r>
      <w:r>
        <w:rPr>
          <w:szCs w:val="24"/>
        </w:rPr>
        <w:t>with the Code of Practice on Local Authority Accounting in United Kingdom 2013/14 which is based on International Financial Reporting Standards (IFRS), as amended for the UK public sector.</w:t>
      </w:r>
    </w:p>
    <w:p w:rsidR="00CE58F0" w:rsidRPr="00166665" w:rsidRDefault="00CE58F0" w:rsidP="00CE58F0">
      <w:pPr>
        <w:pStyle w:val="BodyTextIndent"/>
        <w:spacing w:after="0"/>
        <w:ind w:left="567"/>
        <w:rPr>
          <w:szCs w:val="24"/>
        </w:rPr>
      </w:pPr>
    </w:p>
    <w:p w:rsidR="00CE58F0" w:rsidRDefault="00CE58F0" w:rsidP="00CE58F0">
      <w:pPr>
        <w:ind w:left="567"/>
        <w:jc w:val="both"/>
        <w:rPr>
          <w:szCs w:val="24"/>
        </w:rPr>
      </w:pPr>
      <w:r>
        <w:rPr>
          <w:szCs w:val="24"/>
        </w:rPr>
        <w:t>The accounts</w:t>
      </w:r>
      <w:r w:rsidRPr="00166665">
        <w:rPr>
          <w:szCs w:val="24"/>
        </w:rPr>
        <w:t xml:space="preserve"> summarise the transactions</w:t>
      </w:r>
      <w:r>
        <w:rPr>
          <w:szCs w:val="24"/>
        </w:rPr>
        <w:t xml:space="preserve"> of the fund</w:t>
      </w:r>
      <w:r w:rsidRPr="00166665">
        <w:rPr>
          <w:szCs w:val="24"/>
        </w:rPr>
        <w:t xml:space="preserve"> and</w:t>
      </w:r>
      <w:r>
        <w:rPr>
          <w:szCs w:val="24"/>
        </w:rPr>
        <w:t xml:space="preserve"> report the net assets available to pay pension benefits.</w:t>
      </w:r>
      <w:r w:rsidRPr="00166665">
        <w:rPr>
          <w:szCs w:val="24"/>
        </w:rPr>
        <w:t xml:space="preserve"> They do not take account of obligations to pay pensions and benefits which fall due after the end </w:t>
      </w:r>
      <w:r>
        <w:rPr>
          <w:szCs w:val="24"/>
        </w:rPr>
        <w:t xml:space="preserve">of the financial year. </w:t>
      </w:r>
      <w:r w:rsidRPr="00AD17B7">
        <w:rPr>
          <w:szCs w:val="24"/>
        </w:rPr>
        <w:t xml:space="preserve">The actuarial present value of promised retirement benefits, value on an International Accounting Standard (IAS) 19 basis, is disclosed in note </w:t>
      </w:r>
      <w:r>
        <w:rPr>
          <w:szCs w:val="24"/>
        </w:rPr>
        <w:t>27</w:t>
      </w:r>
      <w:r w:rsidRPr="00AD17B7">
        <w:rPr>
          <w:szCs w:val="24"/>
        </w:rPr>
        <w:t xml:space="preserve"> of these accounts.</w:t>
      </w:r>
    </w:p>
    <w:p w:rsidR="00CE58F0" w:rsidRDefault="00CE58F0" w:rsidP="00CE58F0">
      <w:pPr>
        <w:ind w:left="567"/>
        <w:jc w:val="both"/>
        <w:rPr>
          <w:szCs w:val="24"/>
        </w:rPr>
      </w:pPr>
    </w:p>
    <w:p w:rsidR="00CE58F0" w:rsidRDefault="00CE58F0" w:rsidP="00CE58F0">
      <w:pPr>
        <w:ind w:left="567"/>
        <w:jc w:val="both"/>
        <w:rPr>
          <w:szCs w:val="24"/>
        </w:rPr>
      </w:pPr>
    </w:p>
    <w:p w:rsidR="00CE58F0" w:rsidRDefault="00CE58F0" w:rsidP="00CE58F0">
      <w:pPr>
        <w:pStyle w:val="BodyTextIndent"/>
        <w:numPr>
          <w:ilvl w:val="0"/>
          <w:numId w:val="2"/>
        </w:numPr>
        <w:tabs>
          <w:tab w:val="clear" w:pos="720"/>
          <w:tab w:val="clear" w:pos="1080"/>
          <w:tab w:val="num" w:pos="567"/>
          <w:tab w:val="num" w:pos="862"/>
        </w:tabs>
        <w:spacing w:after="0"/>
        <w:ind w:left="567" w:hanging="567"/>
        <w:rPr>
          <w:b/>
          <w:szCs w:val="24"/>
        </w:rPr>
      </w:pPr>
      <w:r w:rsidRPr="00166665">
        <w:rPr>
          <w:b/>
          <w:szCs w:val="24"/>
        </w:rPr>
        <w:t>Accounting Policies</w:t>
      </w:r>
    </w:p>
    <w:p w:rsidR="00CE58F0" w:rsidRPr="00166665" w:rsidRDefault="00CE58F0" w:rsidP="00CE58F0">
      <w:pPr>
        <w:pStyle w:val="BodyTextIndent"/>
        <w:tabs>
          <w:tab w:val="clear" w:pos="1080"/>
        </w:tabs>
        <w:spacing w:after="0"/>
        <w:ind w:left="567"/>
        <w:rPr>
          <w:b/>
          <w:szCs w:val="24"/>
        </w:rPr>
      </w:pPr>
    </w:p>
    <w:p w:rsidR="00CE58F0" w:rsidRDefault="00CE58F0" w:rsidP="00CE58F0">
      <w:pPr>
        <w:ind w:left="567"/>
        <w:rPr>
          <w:b/>
          <w:szCs w:val="24"/>
        </w:rPr>
      </w:pPr>
      <w:r>
        <w:rPr>
          <w:b/>
          <w:szCs w:val="24"/>
        </w:rPr>
        <w:t>Fund Account revenue recognition</w:t>
      </w:r>
    </w:p>
    <w:p w:rsidR="00CE58F0" w:rsidRPr="003B5697" w:rsidRDefault="00CE58F0" w:rsidP="00CE58F0">
      <w:pPr>
        <w:rPr>
          <w:b/>
          <w:szCs w:val="24"/>
        </w:rPr>
      </w:pPr>
    </w:p>
    <w:p w:rsidR="00CE58F0" w:rsidRDefault="00CE58F0" w:rsidP="00CE58F0">
      <w:pPr>
        <w:numPr>
          <w:ilvl w:val="0"/>
          <w:numId w:val="4"/>
        </w:numPr>
        <w:tabs>
          <w:tab w:val="clear" w:pos="825"/>
          <w:tab w:val="num" w:pos="851"/>
        </w:tabs>
        <w:ind w:left="1113" w:hanging="546"/>
        <w:rPr>
          <w:b/>
          <w:szCs w:val="24"/>
        </w:rPr>
      </w:pPr>
      <w:r w:rsidRPr="003B5697">
        <w:rPr>
          <w:b/>
          <w:szCs w:val="24"/>
        </w:rPr>
        <w:t>Contribution income</w:t>
      </w:r>
    </w:p>
    <w:p w:rsidR="00CE58F0" w:rsidRPr="003B5697" w:rsidRDefault="00CE58F0" w:rsidP="00CE58F0">
      <w:pPr>
        <w:ind w:left="1113"/>
        <w:rPr>
          <w:b/>
          <w:szCs w:val="24"/>
        </w:rPr>
      </w:pPr>
    </w:p>
    <w:p w:rsidR="00CE58F0" w:rsidRDefault="00CE58F0" w:rsidP="00CE58F0">
      <w:pPr>
        <w:pStyle w:val="BodyTextIndent2"/>
        <w:tabs>
          <w:tab w:val="left" w:pos="851"/>
        </w:tabs>
        <w:spacing w:after="0"/>
        <w:ind w:left="851"/>
        <w:rPr>
          <w:szCs w:val="24"/>
        </w:rPr>
      </w:pPr>
      <w:r>
        <w:rPr>
          <w:szCs w:val="24"/>
        </w:rPr>
        <w:t>Normal contributions both from members and from the employer are accounted for on an accruals basis at the percentage rate recommended by the fund actuary in the payroll period to which they relate.</w:t>
      </w:r>
    </w:p>
    <w:p w:rsidR="00CE58F0" w:rsidRDefault="00CE58F0" w:rsidP="00CE58F0">
      <w:pPr>
        <w:pStyle w:val="BodyTextIndent2"/>
        <w:tabs>
          <w:tab w:val="left" w:pos="851"/>
        </w:tabs>
        <w:spacing w:after="0"/>
        <w:ind w:left="851"/>
        <w:rPr>
          <w:szCs w:val="24"/>
        </w:rPr>
      </w:pPr>
    </w:p>
    <w:p w:rsidR="00CE58F0" w:rsidRDefault="00CE58F0" w:rsidP="00CE58F0">
      <w:pPr>
        <w:ind w:left="851"/>
        <w:rPr>
          <w:b/>
          <w:szCs w:val="24"/>
        </w:rPr>
      </w:pPr>
      <w:r>
        <w:rPr>
          <w:szCs w:val="24"/>
        </w:rPr>
        <w:t>Employers' augmentation contributions and pension strain contributions are accounted for</w:t>
      </w:r>
      <w:r>
        <w:rPr>
          <w:b/>
          <w:szCs w:val="24"/>
        </w:rPr>
        <w:t xml:space="preserve"> </w:t>
      </w:r>
      <w:r w:rsidRPr="00673D9E">
        <w:rPr>
          <w:szCs w:val="24"/>
        </w:rPr>
        <w:t>in</w:t>
      </w:r>
      <w:r>
        <w:rPr>
          <w:b/>
          <w:szCs w:val="24"/>
        </w:rPr>
        <w:t xml:space="preserve"> </w:t>
      </w:r>
      <w:r w:rsidRPr="00260A3F">
        <w:rPr>
          <w:szCs w:val="24"/>
        </w:rPr>
        <w:t>the period in which the liability arises.  Any amount due in the year but unpaid will be classed as a current financial asset.  Amounts not due until future years are classed as long term financial assets.</w:t>
      </w:r>
      <w:r w:rsidRPr="00260A3F">
        <w:rPr>
          <w:b/>
          <w:szCs w:val="24"/>
        </w:rPr>
        <w:t xml:space="preserve"> </w:t>
      </w:r>
    </w:p>
    <w:p w:rsidR="00CE58F0" w:rsidRPr="00260A3F" w:rsidRDefault="00CE58F0" w:rsidP="00CE58F0">
      <w:pPr>
        <w:ind w:left="851"/>
        <w:rPr>
          <w:b/>
          <w:szCs w:val="24"/>
        </w:rPr>
      </w:pPr>
    </w:p>
    <w:p w:rsidR="00CE58F0" w:rsidRDefault="00CE58F0" w:rsidP="00CE58F0">
      <w:pPr>
        <w:numPr>
          <w:ilvl w:val="0"/>
          <w:numId w:val="4"/>
        </w:numPr>
        <w:tabs>
          <w:tab w:val="clear" w:pos="825"/>
          <w:tab w:val="num" w:pos="851"/>
        </w:tabs>
        <w:ind w:left="1113" w:hanging="546"/>
        <w:rPr>
          <w:b/>
          <w:szCs w:val="24"/>
        </w:rPr>
      </w:pPr>
      <w:r>
        <w:rPr>
          <w:b/>
          <w:szCs w:val="24"/>
        </w:rPr>
        <w:t>T</w:t>
      </w:r>
      <w:r w:rsidRPr="003B5697">
        <w:rPr>
          <w:b/>
          <w:szCs w:val="24"/>
        </w:rPr>
        <w:t>ransfers</w:t>
      </w:r>
    </w:p>
    <w:p w:rsidR="00CE58F0" w:rsidRPr="003B5697" w:rsidRDefault="00CE58F0" w:rsidP="00CE58F0">
      <w:pPr>
        <w:ind w:left="1113"/>
        <w:rPr>
          <w:b/>
          <w:szCs w:val="24"/>
        </w:rPr>
      </w:pPr>
    </w:p>
    <w:p w:rsidR="00CE58F0" w:rsidRPr="00260A3F" w:rsidRDefault="00CE58F0" w:rsidP="00CE58F0">
      <w:pPr>
        <w:pStyle w:val="BodyTextIndent2"/>
        <w:tabs>
          <w:tab w:val="left" w:pos="851"/>
        </w:tabs>
        <w:spacing w:after="0"/>
        <w:ind w:left="851"/>
        <w:rPr>
          <w:szCs w:val="24"/>
          <w:highlight w:val="yellow"/>
        </w:rPr>
      </w:pPr>
      <w:r>
        <w:rPr>
          <w:szCs w:val="24"/>
        </w:rPr>
        <w:t xml:space="preserve">Transfer values represent amounts received and paid during the period for individual </w:t>
      </w:r>
      <w:r w:rsidRPr="00664DB9">
        <w:rPr>
          <w:szCs w:val="24"/>
        </w:rPr>
        <w:t>members who have either joined or left the fund during the financial year and are calculated in accordance with Local Governance Pension Scheme Regulations.</w:t>
      </w:r>
    </w:p>
    <w:p w:rsidR="00CE58F0" w:rsidRPr="00260A3F" w:rsidRDefault="00CE58F0" w:rsidP="00CE58F0">
      <w:pPr>
        <w:pStyle w:val="BodyTextIndent2"/>
        <w:tabs>
          <w:tab w:val="left" w:pos="851"/>
        </w:tabs>
        <w:spacing w:after="0"/>
        <w:ind w:left="851"/>
        <w:rPr>
          <w:szCs w:val="24"/>
          <w:highlight w:val="yellow"/>
        </w:rPr>
      </w:pPr>
    </w:p>
    <w:p w:rsidR="00CE58F0" w:rsidRPr="00664DB9" w:rsidRDefault="00CE58F0" w:rsidP="00CE58F0">
      <w:pPr>
        <w:pStyle w:val="BodyTextIndent2"/>
        <w:tabs>
          <w:tab w:val="left" w:pos="851"/>
        </w:tabs>
        <w:spacing w:after="0"/>
        <w:ind w:left="851"/>
        <w:rPr>
          <w:szCs w:val="24"/>
        </w:rPr>
      </w:pPr>
      <w:r w:rsidRPr="00664DB9">
        <w:rPr>
          <w:szCs w:val="24"/>
        </w:rPr>
        <w:t>Individual transfers in/out are accounted for when received/paid, which is normally when the member liability is accepted or discharged.</w:t>
      </w:r>
    </w:p>
    <w:p w:rsidR="00CE58F0" w:rsidRPr="00260A3F" w:rsidRDefault="00CE58F0" w:rsidP="00CE58F0">
      <w:pPr>
        <w:pStyle w:val="BodyTextIndent2"/>
        <w:tabs>
          <w:tab w:val="left" w:pos="851"/>
        </w:tabs>
        <w:spacing w:after="0"/>
        <w:ind w:left="851"/>
        <w:rPr>
          <w:szCs w:val="24"/>
          <w:highlight w:val="yellow"/>
        </w:rPr>
      </w:pPr>
    </w:p>
    <w:p w:rsidR="00CE58F0" w:rsidRDefault="00CE58F0" w:rsidP="00CE58F0">
      <w:pPr>
        <w:pStyle w:val="BodyTextIndent2"/>
        <w:tabs>
          <w:tab w:val="left" w:pos="851"/>
        </w:tabs>
        <w:spacing w:after="0"/>
        <w:ind w:left="851"/>
        <w:rPr>
          <w:szCs w:val="24"/>
        </w:rPr>
      </w:pPr>
      <w:r w:rsidRPr="00664DB9">
        <w:rPr>
          <w:szCs w:val="24"/>
        </w:rPr>
        <w:t>Transfers in from members wishing to use the proceeds of their additional voluntary contributions to purchase scheme benefits are accounted for on a receipts basis and are included in transfers in. Bulk (group) transfers are accounted for on an accruals basis in accordance with the terms of the transfer agreement.</w:t>
      </w:r>
    </w:p>
    <w:p w:rsidR="00CE58F0" w:rsidRDefault="00CE58F0" w:rsidP="00CE58F0">
      <w:pPr>
        <w:pStyle w:val="BodyTextIndent2"/>
        <w:tabs>
          <w:tab w:val="left" w:pos="851"/>
        </w:tabs>
        <w:spacing w:after="0"/>
        <w:ind w:left="851"/>
        <w:rPr>
          <w:szCs w:val="24"/>
        </w:rPr>
      </w:pPr>
    </w:p>
    <w:p w:rsidR="00CE58F0" w:rsidRPr="00DE0905" w:rsidRDefault="00CE58F0" w:rsidP="00CE58F0">
      <w:pPr>
        <w:pStyle w:val="BodyTextIndent2"/>
        <w:numPr>
          <w:ilvl w:val="0"/>
          <w:numId w:val="4"/>
        </w:numPr>
        <w:tabs>
          <w:tab w:val="clear" w:pos="825"/>
          <w:tab w:val="left" w:pos="851"/>
        </w:tabs>
        <w:spacing w:after="0"/>
        <w:ind w:left="720" w:hanging="360"/>
        <w:rPr>
          <w:szCs w:val="24"/>
        </w:rPr>
      </w:pPr>
      <w:r w:rsidRPr="00DE0905">
        <w:rPr>
          <w:b/>
          <w:szCs w:val="24"/>
        </w:rPr>
        <w:t>Investment Income</w:t>
      </w:r>
    </w:p>
    <w:p w:rsidR="00CE58F0" w:rsidRPr="00DE0905" w:rsidRDefault="00CE58F0" w:rsidP="00CE58F0">
      <w:pPr>
        <w:pStyle w:val="BodyTextIndent2"/>
        <w:tabs>
          <w:tab w:val="left" w:pos="851"/>
        </w:tabs>
        <w:spacing w:after="0"/>
        <w:ind w:left="927"/>
        <w:rPr>
          <w:szCs w:val="24"/>
        </w:rPr>
      </w:pPr>
    </w:p>
    <w:p w:rsidR="00CE58F0" w:rsidRDefault="00CE58F0" w:rsidP="00726E6C">
      <w:pPr>
        <w:pStyle w:val="BodyTextIndent2"/>
        <w:numPr>
          <w:ilvl w:val="0"/>
          <w:numId w:val="11"/>
        </w:numPr>
        <w:tabs>
          <w:tab w:val="left" w:pos="851"/>
        </w:tabs>
        <w:spacing w:after="0"/>
        <w:rPr>
          <w:szCs w:val="24"/>
        </w:rPr>
      </w:pPr>
      <w:r w:rsidRPr="00DE0905">
        <w:rPr>
          <w:szCs w:val="24"/>
        </w:rPr>
        <w:t>Interest income</w:t>
      </w:r>
    </w:p>
    <w:p w:rsidR="00CE58F0" w:rsidRDefault="00CE58F0" w:rsidP="00CE58F0">
      <w:pPr>
        <w:pStyle w:val="ListParagraph"/>
      </w:pPr>
    </w:p>
    <w:p w:rsidR="00CE58F0" w:rsidRDefault="00CE58F0" w:rsidP="00CE58F0">
      <w:pPr>
        <w:pStyle w:val="BodyTextIndent2"/>
        <w:tabs>
          <w:tab w:val="left" w:pos="851"/>
        </w:tabs>
        <w:spacing w:after="0"/>
        <w:ind w:left="851"/>
        <w:rPr>
          <w:szCs w:val="24"/>
        </w:rPr>
      </w:pPr>
      <w:r>
        <w:rPr>
          <w:szCs w:val="24"/>
        </w:rPr>
        <w:t xml:space="preserve">Interest income is recognised in the fund account as it accrues, using the effective interest rate of the financial instrument as at the date of acquisition or origination.  Income includes the amortisation of any discount or premium, transaction costs or other differences between </w:t>
      </w:r>
      <w:r>
        <w:rPr>
          <w:szCs w:val="24"/>
        </w:rPr>
        <w:lastRenderedPageBreak/>
        <w:t>the initial carrying amount of the instrument and its amount at maturity calculated on an effective interest rate basis.</w:t>
      </w:r>
    </w:p>
    <w:p w:rsidR="00CE58F0" w:rsidRDefault="00CE58F0" w:rsidP="00CE58F0">
      <w:pPr>
        <w:pStyle w:val="BodyTextIndent2"/>
        <w:tabs>
          <w:tab w:val="left" w:pos="851"/>
        </w:tabs>
        <w:spacing w:after="0"/>
        <w:ind w:left="851"/>
        <w:rPr>
          <w:szCs w:val="24"/>
        </w:rPr>
      </w:pPr>
    </w:p>
    <w:p w:rsidR="00CE58F0" w:rsidRDefault="00CE58F0" w:rsidP="00726E6C">
      <w:pPr>
        <w:pStyle w:val="BodyTextIndent2"/>
        <w:numPr>
          <w:ilvl w:val="0"/>
          <w:numId w:val="11"/>
        </w:numPr>
        <w:tabs>
          <w:tab w:val="left" w:pos="851"/>
        </w:tabs>
        <w:spacing w:after="0"/>
        <w:rPr>
          <w:szCs w:val="24"/>
        </w:rPr>
      </w:pPr>
      <w:r>
        <w:rPr>
          <w:szCs w:val="24"/>
        </w:rPr>
        <w:t>Dividend income</w:t>
      </w:r>
    </w:p>
    <w:p w:rsidR="00CE58F0" w:rsidRDefault="00CE58F0" w:rsidP="00CE58F0">
      <w:pPr>
        <w:pStyle w:val="BodyTextIndent2"/>
        <w:tabs>
          <w:tab w:val="left" w:pos="851"/>
        </w:tabs>
        <w:spacing w:after="0"/>
        <w:ind w:left="927"/>
        <w:rPr>
          <w:szCs w:val="24"/>
        </w:rPr>
      </w:pPr>
    </w:p>
    <w:p w:rsidR="00CE58F0" w:rsidRDefault="00CE58F0" w:rsidP="00CE58F0">
      <w:pPr>
        <w:pStyle w:val="BodyTextIndent2"/>
        <w:tabs>
          <w:tab w:val="left" w:pos="851"/>
        </w:tabs>
        <w:spacing w:after="0"/>
        <w:ind w:left="851"/>
        <w:rPr>
          <w:szCs w:val="24"/>
        </w:rPr>
      </w:pPr>
      <w:r>
        <w:rPr>
          <w:szCs w:val="24"/>
        </w:rPr>
        <w:t>Dividend income is recognised on the date the shares are quoted ex-dividend.  Any amount not received by the end of the reporting period is disclosed in the net asset statement as a current financial asset.</w:t>
      </w:r>
    </w:p>
    <w:p w:rsidR="00CE58F0" w:rsidRDefault="00CE58F0" w:rsidP="00CE58F0">
      <w:pPr>
        <w:pStyle w:val="BodyTextIndent2"/>
        <w:tabs>
          <w:tab w:val="left" w:pos="851"/>
        </w:tabs>
        <w:spacing w:after="0"/>
        <w:ind w:left="927"/>
        <w:rPr>
          <w:szCs w:val="24"/>
        </w:rPr>
      </w:pPr>
    </w:p>
    <w:p w:rsidR="00CE58F0" w:rsidRDefault="00CE58F0" w:rsidP="00726E6C">
      <w:pPr>
        <w:pStyle w:val="BodyTextIndent2"/>
        <w:numPr>
          <w:ilvl w:val="0"/>
          <w:numId w:val="11"/>
        </w:numPr>
        <w:tabs>
          <w:tab w:val="left" w:pos="851"/>
        </w:tabs>
        <w:spacing w:after="0"/>
        <w:rPr>
          <w:szCs w:val="24"/>
        </w:rPr>
      </w:pPr>
      <w:r>
        <w:rPr>
          <w:szCs w:val="24"/>
        </w:rPr>
        <w:t>Distribution from pooled funds</w:t>
      </w:r>
    </w:p>
    <w:p w:rsidR="00CE58F0" w:rsidRDefault="00CE58F0" w:rsidP="00CE58F0">
      <w:pPr>
        <w:pStyle w:val="BodyTextIndent2"/>
        <w:tabs>
          <w:tab w:val="left" w:pos="851"/>
        </w:tabs>
        <w:spacing w:after="0"/>
        <w:ind w:left="927"/>
        <w:rPr>
          <w:szCs w:val="24"/>
        </w:rPr>
      </w:pPr>
    </w:p>
    <w:p w:rsidR="00CE58F0" w:rsidRDefault="00CE58F0" w:rsidP="00CE58F0">
      <w:pPr>
        <w:pStyle w:val="BodyTextIndent2"/>
        <w:tabs>
          <w:tab w:val="left" w:pos="851"/>
        </w:tabs>
        <w:spacing w:after="0"/>
        <w:ind w:left="851"/>
        <w:rPr>
          <w:szCs w:val="24"/>
        </w:rPr>
      </w:pPr>
      <w:r>
        <w:rPr>
          <w:szCs w:val="24"/>
        </w:rPr>
        <w:t>Distributions from pooled funds are recognised at the date of issue.  Any amount not received by the end of the reporting period is disclosed in the net asset statement as a current financial asset.</w:t>
      </w:r>
    </w:p>
    <w:p w:rsidR="00CE58F0" w:rsidRDefault="00CE58F0" w:rsidP="00CE58F0">
      <w:pPr>
        <w:pStyle w:val="BodyTextIndent2"/>
        <w:tabs>
          <w:tab w:val="left" w:pos="851"/>
        </w:tabs>
        <w:spacing w:after="0"/>
        <w:ind w:left="927"/>
        <w:rPr>
          <w:szCs w:val="24"/>
        </w:rPr>
      </w:pPr>
    </w:p>
    <w:p w:rsidR="00CE58F0" w:rsidRDefault="00CE58F0" w:rsidP="00726E6C">
      <w:pPr>
        <w:pStyle w:val="BodyTextIndent2"/>
        <w:numPr>
          <w:ilvl w:val="0"/>
          <w:numId w:val="11"/>
        </w:numPr>
        <w:tabs>
          <w:tab w:val="left" w:pos="851"/>
        </w:tabs>
        <w:spacing w:after="0"/>
        <w:rPr>
          <w:szCs w:val="24"/>
        </w:rPr>
      </w:pPr>
      <w:r>
        <w:rPr>
          <w:szCs w:val="24"/>
        </w:rPr>
        <w:t>Rental income</w:t>
      </w:r>
    </w:p>
    <w:p w:rsidR="00CE58F0" w:rsidRDefault="00CE58F0" w:rsidP="00CE58F0">
      <w:pPr>
        <w:pStyle w:val="BodyTextIndent2"/>
        <w:tabs>
          <w:tab w:val="left" w:pos="851"/>
        </w:tabs>
        <w:spacing w:after="0"/>
        <w:ind w:left="927"/>
        <w:rPr>
          <w:szCs w:val="24"/>
        </w:rPr>
      </w:pPr>
    </w:p>
    <w:p w:rsidR="00CE58F0" w:rsidRDefault="00CE58F0" w:rsidP="00CE58F0">
      <w:pPr>
        <w:pStyle w:val="BodyTextIndent2"/>
        <w:tabs>
          <w:tab w:val="left" w:pos="851"/>
        </w:tabs>
        <w:spacing w:after="0"/>
        <w:ind w:left="851"/>
        <w:rPr>
          <w:szCs w:val="24"/>
        </w:rPr>
      </w:pPr>
      <w:r>
        <w:rPr>
          <w:szCs w:val="24"/>
        </w:rPr>
        <w:t>Net rental income from operating leases on properties owned by the fund is recognised on a straight line basis over the term of the lease.  Any lease incentives granted are recognised as an integral part of the total rental income, over the term of the lease.  Contingent rents are only recognised when contractually due.</w:t>
      </w:r>
    </w:p>
    <w:p w:rsidR="00CE58F0" w:rsidRDefault="00CE58F0" w:rsidP="00CE58F0">
      <w:pPr>
        <w:pStyle w:val="BodyTextIndent2"/>
        <w:tabs>
          <w:tab w:val="left" w:pos="851"/>
        </w:tabs>
        <w:spacing w:after="0"/>
        <w:ind w:left="851"/>
        <w:rPr>
          <w:szCs w:val="24"/>
        </w:rPr>
      </w:pPr>
    </w:p>
    <w:p w:rsidR="00CE58F0" w:rsidRDefault="00CE58F0" w:rsidP="00726E6C">
      <w:pPr>
        <w:pStyle w:val="BodyTextIndent2"/>
        <w:numPr>
          <w:ilvl w:val="0"/>
          <w:numId w:val="11"/>
        </w:numPr>
        <w:tabs>
          <w:tab w:val="left" w:pos="851"/>
        </w:tabs>
        <w:spacing w:after="0"/>
        <w:rPr>
          <w:szCs w:val="24"/>
        </w:rPr>
      </w:pPr>
      <w:r>
        <w:rPr>
          <w:szCs w:val="24"/>
        </w:rPr>
        <w:t>Movement in the net market value of investments</w:t>
      </w:r>
    </w:p>
    <w:p w:rsidR="00CE58F0" w:rsidRDefault="00CE58F0" w:rsidP="00CE58F0">
      <w:pPr>
        <w:pStyle w:val="BodyTextIndent2"/>
        <w:tabs>
          <w:tab w:val="left" w:pos="851"/>
        </w:tabs>
        <w:spacing w:after="0"/>
        <w:rPr>
          <w:szCs w:val="24"/>
        </w:rPr>
      </w:pPr>
    </w:p>
    <w:p w:rsidR="00CE58F0" w:rsidRDefault="00CE58F0" w:rsidP="00CE58F0">
      <w:pPr>
        <w:pStyle w:val="BodyTextIndent2"/>
        <w:tabs>
          <w:tab w:val="left" w:pos="851"/>
        </w:tabs>
        <w:spacing w:after="0"/>
        <w:ind w:left="851"/>
        <w:rPr>
          <w:szCs w:val="24"/>
        </w:rPr>
      </w:pPr>
      <w:r>
        <w:rPr>
          <w:szCs w:val="24"/>
        </w:rPr>
        <w:t>Changes in the net market value of investments (including investment properties) are recognised as income and comprise all realised and unrealised profits/losses during the year.</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927" w:hanging="76"/>
        <w:rPr>
          <w:szCs w:val="24"/>
        </w:rPr>
      </w:pPr>
    </w:p>
    <w:p w:rsidR="00CE58F0" w:rsidRDefault="00CE58F0" w:rsidP="00CE58F0">
      <w:pPr>
        <w:ind w:left="426"/>
        <w:rPr>
          <w:b/>
          <w:szCs w:val="24"/>
        </w:rPr>
      </w:pPr>
      <w:r>
        <w:rPr>
          <w:b/>
          <w:szCs w:val="24"/>
        </w:rPr>
        <w:t>Fund Account –expense items</w:t>
      </w:r>
    </w:p>
    <w:p w:rsidR="00CE58F0" w:rsidRDefault="00CE58F0" w:rsidP="00CE58F0">
      <w:pPr>
        <w:rPr>
          <w:b/>
          <w:szCs w:val="24"/>
        </w:rPr>
      </w:pPr>
    </w:p>
    <w:p w:rsidR="00CE58F0" w:rsidRDefault="00CE58F0" w:rsidP="00CE58F0">
      <w:pPr>
        <w:numPr>
          <w:ilvl w:val="0"/>
          <w:numId w:val="4"/>
        </w:numPr>
        <w:tabs>
          <w:tab w:val="clear" w:pos="825"/>
          <w:tab w:val="num" w:pos="851"/>
        </w:tabs>
        <w:ind w:left="1113" w:hanging="546"/>
        <w:rPr>
          <w:b/>
          <w:szCs w:val="24"/>
        </w:rPr>
      </w:pPr>
      <w:r>
        <w:rPr>
          <w:b/>
          <w:szCs w:val="24"/>
        </w:rPr>
        <w:t>Benefits payable</w:t>
      </w:r>
    </w:p>
    <w:p w:rsidR="00CE58F0" w:rsidRDefault="00CE58F0" w:rsidP="00CE58F0">
      <w:pPr>
        <w:ind w:left="1113"/>
        <w:rPr>
          <w:b/>
          <w:szCs w:val="24"/>
        </w:rPr>
      </w:pPr>
    </w:p>
    <w:p w:rsidR="00CE58F0" w:rsidRDefault="00CE58F0" w:rsidP="00CE58F0">
      <w:pPr>
        <w:tabs>
          <w:tab w:val="left" w:pos="851"/>
        </w:tabs>
        <w:ind w:left="851"/>
        <w:jc w:val="both"/>
        <w:rPr>
          <w:szCs w:val="24"/>
        </w:rPr>
      </w:pPr>
      <w:r>
        <w:rPr>
          <w:szCs w:val="24"/>
        </w:rPr>
        <w:t>Pensions and lump sum benefits payable include all amounts known to be due as at the end of the financial year.  Any amounts due but unpaid are disclosed on the net asset statement as current liabilities.</w:t>
      </w:r>
    </w:p>
    <w:p w:rsidR="00CE58F0" w:rsidRDefault="00CE58F0" w:rsidP="00CE58F0">
      <w:pPr>
        <w:tabs>
          <w:tab w:val="left" w:pos="851"/>
        </w:tabs>
        <w:ind w:left="851"/>
        <w:jc w:val="both"/>
        <w:rPr>
          <w:szCs w:val="24"/>
        </w:rPr>
      </w:pPr>
    </w:p>
    <w:p w:rsidR="00CE58F0" w:rsidRDefault="00CE58F0" w:rsidP="00CE58F0">
      <w:pPr>
        <w:numPr>
          <w:ilvl w:val="0"/>
          <w:numId w:val="4"/>
        </w:numPr>
        <w:tabs>
          <w:tab w:val="clear" w:pos="825"/>
          <w:tab w:val="num" w:pos="851"/>
        </w:tabs>
        <w:ind w:left="1113" w:hanging="546"/>
        <w:rPr>
          <w:b/>
          <w:szCs w:val="24"/>
        </w:rPr>
      </w:pPr>
      <w:r w:rsidRPr="007E6060">
        <w:rPr>
          <w:b/>
          <w:szCs w:val="24"/>
        </w:rPr>
        <w:t>Taxation</w:t>
      </w:r>
    </w:p>
    <w:p w:rsidR="00CE58F0" w:rsidRDefault="00CE58F0" w:rsidP="00CE58F0">
      <w:pPr>
        <w:ind w:left="1113"/>
        <w:rPr>
          <w:b/>
          <w:szCs w:val="24"/>
        </w:rPr>
      </w:pPr>
    </w:p>
    <w:p w:rsidR="00CE58F0" w:rsidRDefault="00CE58F0" w:rsidP="00CE58F0">
      <w:pPr>
        <w:tabs>
          <w:tab w:val="left" w:pos="851"/>
        </w:tabs>
        <w:ind w:left="851"/>
        <w:jc w:val="both"/>
        <w:rPr>
          <w:szCs w:val="24"/>
        </w:rPr>
      </w:pPr>
      <w:r>
        <w:rPr>
          <w:szCs w:val="24"/>
        </w:rP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CE58F0" w:rsidRDefault="00CE58F0" w:rsidP="00CE58F0">
      <w:pPr>
        <w:tabs>
          <w:tab w:val="left" w:pos="851"/>
        </w:tabs>
        <w:ind w:left="851"/>
        <w:jc w:val="both"/>
        <w:rPr>
          <w:szCs w:val="24"/>
        </w:rPr>
      </w:pPr>
    </w:p>
    <w:p w:rsidR="00CE58F0" w:rsidRPr="009504F6" w:rsidRDefault="00CE58F0" w:rsidP="00CE58F0">
      <w:pPr>
        <w:numPr>
          <w:ilvl w:val="0"/>
          <w:numId w:val="4"/>
        </w:numPr>
        <w:tabs>
          <w:tab w:val="clear" w:pos="825"/>
          <w:tab w:val="num" w:pos="851"/>
        </w:tabs>
        <w:ind w:left="1113" w:hanging="546"/>
        <w:rPr>
          <w:szCs w:val="24"/>
        </w:rPr>
      </w:pPr>
      <w:r w:rsidRPr="00C44323">
        <w:rPr>
          <w:b/>
          <w:szCs w:val="24"/>
        </w:rPr>
        <w:t>Administrative</w:t>
      </w:r>
      <w:r w:rsidRPr="00C44323">
        <w:rPr>
          <w:szCs w:val="24"/>
        </w:rPr>
        <w:t xml:space="preserve"> </w:t>
      </w:r>
      <w:r w:rsidRPr="00C44323">
        <w:rPr>
          <w:b/>
          <w:szCs w:val="24"/>
        </w:rPr>
        <w:t>expenses</w:t>
      </w:r>
    </w:p>
    <w:p w:rsidR="00CE58F0" w:rsidRPr="00C44323" w:rsidRDefault="00CE58F0" w:rsidP="00CE58F0">
      <w:pPr>
        <w:ind w:left="1113"/>
        <w:rPr>
          <w:szCs w:val="24"/>
        </w:rPr>
      </w:pPr>
    </w:p>
    <w:p w:rsidR="00CE58F0" w:rsidRDefault="00CE58F0" w:rsidP="00CE58F0">
      <w:pPr>
        <w:tabs>
          <w:tab w:val="left" w:pos="851"/>
        </w:tabs>
        <w:ind w:left="851"/>
        <w:jc w:val="both"/>
        <w:rPr>
          <w:szCs w:val="24"/>
        </w:rPr>
      </w:pPr>
      <w:r w:rsidRPr="00C44323">
        <w:rPr>
          <w:szCs w:val="24"/>
        </w:rPr>
        <w:t>All administrative expenses are accounted for on an accruals basis.</w:t>
      </w:r>
      <w:r>
        <w:rPr>
          <w:szCs w:val="24"/>
        </w:rPr>
        <w:t xml:space="preserve"> </w:t>
      </w:r>
      <w:r w:rsidRPr="00166665">
        <w:rPr>
          <w:szCs w:val="24"/>
        </w:rPr>
        <w:t>All other costs of administration are borne by the employer.  The administration and processing expenses are a proportion of relevant officers' salaries in respect of the time allocated to pension administration and investment issues.</w:t>
      </w:r>
    </w:p>
    <w:p w:rsidR="00CE58F0" w:rsidRDefault="00CE58F0" w:rsidP="00CE58F0">
      <w:pPr>
        <w:tabs>
          <w:tab w:val="left" w:pos="851"/>
        </w:tabs>
        <w:ind w:left="851"/>
        <w:jc w:val="both"/>
        <w:rPr>
          <w:szCs w:val="24"/>
        </w:rPr>
      </w:pPr>
    </w:p>
    <w:p w:rsidR="00CE58F0" w:rsidRDefault="00CE58F0" w:rsidP="00CE58F0">
      <w:pPr>
        <w:numPr>
          <w:ilvl w:val="0"/>
          <w:numId w:val="4"/>
        </w:numPr>
        <w:tabs>
          <w:tab w:val="clear" w:pos="825"/>
          <w:tab w:val="num" w:pos="851"/>
        </w:tabs>
        <w:ind w:left="1113" w:hanging="546"/>
        <w:rPr>
          <w:b/>
          <w:szCs w:val="24"/>
        </w:rPr>
      </w:pPr>
      <w:r>
        <w:rPr>
          <w:b/>
          <w:szCs w:val="24"/>
        </w:rPr>
        <w:lastRenderedPageBreak/>
        <w:t>Investment Manager expenses</w:t>
      </w:r>
    </w:p>
    <w:p w:rsidR="00CE58F0" w:rsidRDefault="00CE58F0" w:rsidP="00CE58F0">
      <w:pPr>
        <w:ind w:left="1113"/>
        <w:rPr>
          <w:b/>
          <w:szCs w:val="24"/>
        </w:rPr>
      </w:pPr>
    </w:p>
    <w:p w:rsidR="00CE58F0" w:rsidRDefault="00CE58F0" w:rsidP="00CE58F0">
      <w:pPr>
        <w:tabs>
          <w:tab w:val="left" w:pos="851"/>
        </w:tabs>
        <w:ind w:left="851"/>
        <w:jc w:val="both"/>
        <w:rPr>
          <w:rFonts w:cs="Arial"/>
          <w:szCs w:val="24"/>
        </w:rPr>
      </w:pPr>
      <w:r w:rsidRPr="007E4386">
        <w:rPr>
          <w:szCs w:val="24"/>
        </w:rPr>
        <w:t>Investment</w:t>
      </w:r>
      <w:r w:rsidRPr="007E4386">
        <w:rPr>
          <w:rFonts w:cs="Arial"/>
          <w:b/>
          <w:szCs w:val="24"/>
        </w:rPr>
        <w:t xml:space="preserve"> </w:t>
      </w:r>
      <w:r w:rsidRPr="007E4386">
        <w:rPr>
          <w:rFonts w:cs="Arial"/>
          <w:szCs w:val="24"/>
        </w:rPr>
        <w:t>management expenses</w:t>
      </w:r>
      <w:r>
        <w:rPr>
          <w:rFonts w:cs="Arial"/>
          <w:szCs w:val="24"/>
        </w:rPr>
        <w:t xml:space="preserve"> are accounted for on an accruals basis.  They </w:t>
      </w:r>
      <w:r w:rsidRPr="007E4386">
        <w:rPr>
          <w:rFonts w:cs="Arial"/>
          <w:szCs w:val="24"/>
        </w:rPr>
        <w:t>include the fees paid and due to the fund managers</w:t>
      </w:r>
      <w:r>
        <w:rPr>
          <w:rFonts w:cs="Arial"/>
          <w:szCs w:val="24"/>
        </w:rPr>
        <w:t xml:space="preserve">, custodian, actuarial fees and </w:t>
      </w:r>
      <w:r w:rsidRPr="007E4386">
        <w:rPr>
          <w:rFonts w:cs="Arial"/>
          <w:szCs w:val="24"/>
        </w:rPr>
        <w:t xml:space="preserve">performance measurement and investment consultant fees. </w:t>
      </w:r>
    </w:p>
    <w:p w:rsidR="00CE58F0" w:rsidRDefault="00CE58F0" w:rsidP="00CE58F0">
      <w:pPr>
        <w:tabs>
          <w:tab w:val="left" w:pos="851"/>
        </w:tabs>
        <w:ind w:left="851"/>
        <w:jc w:val="both"/>
        <w:rPr>
          <w:rFonts w:cs="Arial"/>
          <w:szCs w:val="24"/>
        </w:rPr>
      </w:pPr>
    </w:p>
    <w:p w:rsidR="00CE58F0" w:rsidRDefault="00CE58F0" w:rsidP="00CE58F0">
      <w:pPr>
        <w:tabs>
          <w:tab w:val="left" w:pos="851"/>
        </w:tabs>
        <w:ind w:left="851"/>
        <w:jc w:val="both"/>
        <w:rPr>
          <w:rFonts w:cs="Arial"/>
          <w:szCs w:val="24"/>
        </w:rPr>
      </w:pPr>
      <w:r>
        <w:rPr>
          <w:rFonts w:cs="Arial"/>
          <w:szCs w:val="24"/>
        </w:rPr>
        <w:t>Fees of the external investment managers and custodian are agreed in the respective mandates governing their appointments.  Broadly, these are based on the market value of investments under their management and therefore increase or reduce as the value of these investments change.</w:t>
      </w:r>
    </w:p>
    <w:p w:rsidR="00CE58F0" w:rsidRDefault="00CE58F0" w:rsidP="00CE58F0">
      <w:pPr>
        <w:tabs>
          <w:tab w:val="left" w:pos="851"/>
        </w:tabs>
        <w:ind w:left="851"/>
        <w:jc w:val="both"/>
        <w:rPr>
          <w:rFonts w:cs="Arial"/>
          <w:szCs w:val="24"/>
        </w:rPr>
      </w:pPr>
    </w:p>
    <w:p w:rsidR="00CE58F0" w:rsidRDefault="00CE58F0" w:rsidP="00CE58F0">
      <w:pPr>
        <w:tabs>
          <w:tab w:val="left" w:pos="851"/>
        </w:tabs>
        <w:ind w:left="851"/>
        <w:jc w:val="both"/>
        <w:rPr>
          <w:rFonts w:cs="Arial"/>
          <w:szCs w:val="24"/>
        </w:rPr>
      </w:pPr>
      <w:r>
        <w:rPr>
          <w:rFonts w:cs="Arial"/>
          <w:szCs w:val="24"/>
        </w:rPr>
        <w:t>In addition the fund has negotiated with the following managers that an element of their fee be performance related:</w:t>
      </w:r>
    </w:p>
    <w:p w:rsidR="00CE58F0" w:rsidRDefault="00CE58F0" w:rsidP="00CE58F0">
      <w:pPr>
        <w:tabs>
          <w:tab w:val="left" w:pos="851"/>
        </w:tabs>
        <w:ind w:left="851"/>
        <w:jc w:val="both"/>
        <w:rPr>
          <w:rFonts w:cs="Arial"/>
          <w:szCs w:val="24"/>
        </w:rPr>
      </w:pPr>
    </w:p>
    <w:p w:rsidR="00CE58F0" w:rsidRDefault="00CE58F0" w:rsidP="00726E6C">
      <w:pPr>
        <w:pStyle w:val="ListParagraph"/>
        <w:numPr>
          <w:ilvl w:val="0"/>
          <w:numId w:val="16"/>
        </w:numPr>
        <w:tabs>
          <w:tab w:val="left" w:pos="851"/>
        </w:tabs>
        <w:jc w:val="both"/>
        <w:rPr>
          <w:rFonts w:cs="Arial"/>
        </w:rPr>
      </w:pPr>
      <w:r>
        <w:rPr>
          <w:rFonts w:cs="Arial"/>
        </w:rPr>
        <w:t>MFS</w:t>
      </w:r>
    </w:p>
    <w:p w:rsidR="00CE58F0" w:rsidRDefault="00CE58F0" w:rsidP="00726E6C">
      <w:pPr>
        <w:pStyle w:val="ListParagraph"/>
        <w:numPr>
          <w:ilvl w:val="0"/>
          <w:numId w:val="16"/>
        </w:numPr>
        <w:tabs>
          <w:tab w:val="left" w:pos="851"/>
        </w:tabs>
        <w:jc w:val="both"/>
        <w:rPr>
          <w:rFonts w:cs="Arial"/>
        </w:rPr>
      </w:pPr>
      <w:r>
        <w:rPr>
          <w:rFonts w:cs="Arial"/>
        </w:rPr>
        <w:t>Morgan Stanley</w:t>
      </w:r>
    </w:p>
    <w:p w:rsidR="00CE58F0" w:rsidRPr="003539A3" w:rsidRDefault="00CE58F0" w:rsidP="00CE58F0">
      <w:pPr>
        <w:tabs>
          <w:tab w:val="left" w:pos="851"/>
        </w:tabs>
        <w:ind w:left="851"/>
        <w:jc w:val="both"/>
        <w:rPr>
          <w:rFonts w:cs="Arial"/>
        </w:rPr>
      </w:pPr>
    </w:p>
    <w:p w:rsidR="00CE58F0" w:rsidRDefault="00CE58F0" w:rsidP="00CE58F0">
      <w:pPr>
        <w:tabs>
          <w:tab w:val="left" w:pos="851"/>
        </w:tabs>
        <w:ind w:left="851" w:hanging="131"/>
        <w:jc w:val="both"/>
        <w:rPr>
          <w:rFonts w:cs="Arial"/>
        </w:rPr>
      </w:pPr>
    </w:p>
    <w:p w:rsidR="00CE58F0" w:rsidRPr="003539A3" w:rsidRDefault="00CE58F0" w:rsidP="00CE58F0">
      <w:pPr>
        <w:tabs>
          <w:tab w:val="left" w:pos="851"/>
        </w:tabs>
        <w:ind w:left="851" w:hanging="131"/>
        <w:jc w:val="both"/>
        <w:rPr>
          <w:rFonts w:cs="Arial"/>
        </w:rPr>
      </w:pPr>
      <w:r>
        <w:rPr>
          <w:rFonts w:cs="Arial"/>
        </w:rPr>
        <w:tab/>
        <w:t xml:space="preserve">Performance related fees paid in 13/14 were </w:t>
      </w:r>
      <w:r w:rsidRPr="00AE517B">
        <w:rPr>
          <w:rFonts w:cs="Arial"/>
        </w:rPr>
        <w:t>£</w:t>
      </w:r>
      <w:r>
        <w:rPr>
          <w:rFonts w:cs="Arial"/>
        </w:rPr>
        <w:t>1.5m. No fees were paid in 12/13 as these managers were only appointed in October 2012.</w:t>
      </w:r>
    </w:p>
    <w:p w:rsidR="00CE58F0" w:rsidRDefault="00CE58F0" w:rsidP="00CE58F0">
      <w:pPr>
        <w:tabs>
          <w:tab w:val="left" w:pos="851"/>
        </w:tabs>
        <w:ind w:left="851"/>
        <w:jc w:val="both"/>
        <w:rPr>
          <w:rFonts w:cs="Arial"/>
          <w:szCs w:val="24"/>
        </w:rPr>
      </w:pPr>
    </w:p>
    <w:p w:rsidR="00CE58F0" w:rsidRDefault="00CE58F0" w:rsidP="00CE58F0">
      <w:pPr>
        <w:tabs>
          <w:tab w:val="left" w:pos="851"/>
        </w:tabs>
        <w:ind w:left="851"/>
        <w:jc w:val="both"/>
        <w:rPr>
          <w:rFonts w:cs="Arial"/>
          <w:szCs w:val="24"/>
        </w:rPr>
      </w:pPr>
      <w:r>
        <w:rPr>
          <w:rFonts w:cs="Arial"/>
          <w:szCs w:val="24"/>
        </w:rPr>
        <w:t>Where an investment manager's fee note has not been received by the net asset statement date, an estimate based on market value of their mandate as at year end is used for the inclusion in the fund account</w:t>
      </w:r>
      <w:r w:rsidRPr="00824B09">
        <w:rPr>
          <w:rFonts w:cs="Arial"/>
          <w:szCs w:val="24"/>
        </w:rPr>
        <w:t>.  In 201</w:t>
      </w:r>
      <w:r>
        <w:rPr>
          <w:rFonts w:cs="Arial"/>
          <w:szCs w:val="24"/>
        </w:rPr>
        <w:t xml:space="preserve">3/14 </w:t>
      </w:r>
      <w:r w:rsidRPr="00824B09">
        <w:rPr>
          <w:rFonts w:cs="Arial"/>
          <w:szCs w:val="24"/>
        </w:rPr>
        <w:t>£</w:t>
      </w:r>
      <w:r>
        <w:rPr>
          <w:rFonts w:cs="Arial"/>
          <w:szCs w:val="24"/>
        </w:rPr>
        <w:t xml:space="preserve">2.8m </w:t>
      </w:r>
      <w:r w:rsidRPr="00824B09">
        <w:rPr>
          <w:rFonts w:cs="Arial"/>
          <w:szCs w:val="24"/>
        </w:rPr>
        <w:t>of fees is based on such estimates (201</w:t>
      </w:r>
      <w:r>
        <w:rPr>
          <w:rFonts w:cs="Arial"/>
          <w:szCs w:val="24"/>
        </w:rPr>
        <w:t>2</w:t>
      </w:r>
      <w:r w:rsidRPr="00824B09">
        <w:rPr>
          <w:rFonts w:cs="Arial"/>
          <w:szCs w:val="24"/>
        </w:rPr>
        <w:t>/1</w:t>
      </w:r>
      <w:r>
        <w:rPr>
          <w:rFonts w:cs="Arial"/>
          <w:szCs w:val="24"/>
        </w:rPr>
        <w:t>3</w:t>
      </w:r>
      <w:r w:rsidRPr="00824B09">
        <w:rPr>
          <w:rFonts w:cs="Arial"/>
          <w:szCs w:val="24"/>
        </w:rPr>
        <w:t xml:space="preserve"> £</w:t>
      </w:r>
      <w:r>
        <w:rPr>
          <w:rFonts w:cs="Arial"/>
          <w:szCs w:val="24"/>
        </w:rPr>
        <w:t>2.2m</w:t>
      </w:r>
      <w:r w:rsidRPr="00824B09">
        <w:rPr>
          <w:rFonts w:cs="Arial"/>
          <w:szCs w:val="24"/>
        </w:rPr>
        <w:t>).</w:t>
      </w:r>
    </w:p>
    <w:p w:rsidR="00CE58F0" w:rsidRDefault="00CE58F0" w:rsidP="00CE58F0">
      <w:pPr>
        <w:tabs>
          <w:tab w:val="left" w:pos="851"/>
        </w:tabs>
        <w:ind w:left="851"/>
        <w:jc w:val="both"/>
        <w:rPr>
          <w:rFonts w:cs="Arial"/>
          <w:szCs w:val="24"/>
        </w:rPr>
      </w:pPr>
    </w:p>
    <w:p w:rsidR="00CE58F0" w:rsidRDefault="00CE58F0" w:rsidP="00CE58F0">
      <w:pPr>
        <w:tabs>
          <w:tab w:val="left" w:pos="851"/>
        </w:tabs>
        <w:ind w:left="851"/>
        <w:jc w:val="both"/>
        <w:rPr>
          <w:rFonts w:cs="Arial"/>
          <w:szCs w:val="24"/>
        </w:rPr>
      </w:pPr>
      <w:r>
        <w:rPr>
          <w:rFonts w:cs="Arial"/>
          <w:szCs w:val="24"/>
        </w:rPr>
        <w:t>The costs of the council's in-house fund management team are charged direct to the fund and a proportion of the council's costs representing management time spent by officers on investment management are also charged to the fund.</w:t>
      </w:r>
    </w:p>
    <w:p w:rsidR="00CE58F0" w:rsidRDefault="00CE58F0" w:rsidP="00CE58F0">
      <w:pPr>
        <w:tabs>
          <w:tab w:val="left" w:pos="851"/>
        </w:tabs>
        <w:ind w:left="851"/>
        <w:jc w:val="both"/>
        <w:rPr>
          <w:rFonts w:cs="Arial"/>
          <w:b/>
          <w:szCs w:val="24"/>
        </w:rPr>
      </w:pPr>
    </w:p>
    <w:p w:rsidR="00CE58F0" w:rsidRPr="003B5697" w:rsidRDefault="00CE58F0" w:rsidP="00CE58F0">
      <w:pPr>
        <w:rPr>
          <w:b/>
          <w:szCs w:val="24"/>
        </w:rPr>
      </w:pPr>
    </w:p>
    <w:p w:rsidR="00CE58F0" w:rsidRDefault="00CE58F0" w:rsidP="00CE58F0">
      <w:pPr>
        <w:ind w:left="426"/>
        <w:rPr>
          <w:b/>
          <w:szCs w:val="24"/>
        </w:rPr>
      </w:pPr>
      <w:r>
        <w:rPr>
          <w:b/>
          <w:szCs w:val="24"/>
        </w:rPr>
        <w:t>Net asset statement</w:t>
      </w:r>
    </w:p>
    <w:p w:rsidR="00CE58F0" w:rsidRPr="00326069" w:rsidRDefault="00CE58F0" w:rsidP="00CE58F0">
      <w:pPr>
        <w:rPr>
          <w:b/>
          <w:szCs w:val="24"/>
        </w:rPr>
      </w:pPr>
    </w:p>
    <w:p w:rsidR="00CE58F0" w:rsidRDefault="00CE58F0" w:rsidP="00CE58F0">
      <w:pPr>
        <w:numPr>
          <w:ilvl w:val="0"/>
          <w:numId w:val="4"/>
        </w:numPr>
        <w:tabs>
          <w:tab w:val="clear" w:pos="825"/>
          <w:tab w:val="num" w:pos="851"/>
        </w:tabs>
        <w:ind w:left="1113" w:hanging="546"/>
        <w:rPr>
          <w:b/>
          <w:szCs w:val="24"/>
        </w:rPr>
      </w:pPr>
      <w:r>
        <w:rPr>
          <w:b/>
          <w:szCs w:val="24"/>
        </w:rPr>
        <w:t xml:space="preserve">Financial Instruments </w:t>
      </w:r>
    </w:p>
    <w:p w:rsidR="00CE58F0" w:rsidRDefault="00CE58F0" w:rsidP="00CE58F0">
      <w:pPr>
        <w:ind w:left="1113"/>
        <w:rPr>
          <w:b/>
          <w:szCs w:val="24"/>
        </w:rPr>
      </w:pPr>
    </w:p>
    <w:p w:rsidR="00CE58F0" w:rsidRDefault="00CE58F0" w:rsidP="00CE58F0">
      <w:pPr>
        <w:pStyle w:val="BodyTextIndent2"/>
        <w:tabs>
          <w:tab w:val="left" w:pos="851"/>
        </w:tabs>
        <w:spacing w:after="0"/>
        <w:ind w:left="851"/>
        <w:rPr>
          <w:szCs w:val="24"/>
        </w:rPr>
      </w:pPr>
      <w:r>
        <w:rPr>
          <w:szCs w:val="24"/>
        </w:rPr>
        <w:t>Financial assets, other than loans and receivables, are included in the net asset statement on a fair value basis as at the reporting date.  A financial asset is recognised in the net asset statement on the date the fund becomes party to the contractual acquisition of the asset.  From this date any gains or losses arising from changes in the fair value of the asset are recognised by the fund.</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Pr>
          <w:szCs w:val="24"/>
        </w:rPr>
        <w:t>The assets and liabilities held by Lancashire County Pension Fund are classified as designated at fair value through profit and loss.  Loans and receivables and liabilities are included at amortised cost.</w:t>
      </w:r>
    </w:p>
    <w:p w:rsidR="00B42257" w:rsidRDefault="00B42257"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b/>
          <w:szCs w:val="24"/>
        </w:rPr>
      </w:pPr>
      <w:r w:rsidRPr="00384C6F">
        <w:rPr>
          <w:b/>
          <w:szCs w:val="24"/>
        </w:rPr>
        <w:t>Loans and receivables</w:t>
      </w:r>
    </w:p>
    <w:p w:rsidR="00CE58F0" w:rsidRDefault="00CE58F0" w:rsidP="00CE58F0">
      <w:pPr>
        <w:pStyle w:val="BodyTextIndent2"/>
        <w:tabs>
          <w:tab w:val="left" w:pos="851"/>
        </w:tabs>
        <w:spacing w:after="0"/>
        <w:ind w:left="851"/>
        <w:rPr>
          <w:b/>
          <w:szCs w:val="24"/>
        </w:rPr>
      </w:pPr>
    </w:p>
    <w:p w:rsidR="00CE58F0" w:rsidRDefault="00CE58F0" w:rsidP="00CE58F0">
      <w:pPr>
        <w:pStyle w:val="BodyTextIndent2"/>
        <w:tabs>
          <w:tab w:val="left" w:pos="851"/>
        </w:tabs>
        <w:spacing w:after="0"/>
        <w:ind w:left="851"/>
        <w:rPr>
          <w:szCs w:val="24"/>
        </w:rPr>
      </w:pPr>
      <w:r>
        <w:rPr>
          <w:szCs w:val="24"/>
        </w:rPr>
        <w:t>Loans and receivables are non</w:t>
      </w:r>
      <w:r w:rsidR="004534A9">
        <w:rPr>
          <w:szCs w:val="24"/>
        </w:rPr>
        <w:t>-</w:t>
      </w:r>
      <w:r>
        <w:rPr>
          <w:szCs w:val="24"/>
        </w:rPr>
        <w:t>derivative financial assets with fixed or determinable payments that are not quoted in an active market.</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Pr>
          <w:szCs w:val="24"/>
        </w:rPr>
        <w:t>The fund's loans and receivables comprise of trade and other receivables and cash deposits.</w:t>
      </w:r>
    </w:p>
    <w:p w:rsidR="00CE58F0" w:rsidRDefault="00CE58F0" w:rsidP="00CE58F0">
      <w:pPr>
        <w:pStyle w:val="BodyTextIndent2"/>
        <w:tabs>
          <w:tab w:val="left" w:pos="851"/>
        </w:tabs>
        <w:spacing w:after="0"/>
        <w:ind w:left="851"/>
        <w:rPr>
          <w:b/>
          <w:szCs w:val="24"/>
        </w:rPr>
      </w:pPr>
      <w:r w:rsidRPr="009C228D">
        <w:rPr>
          <w:b/>
          <w:szCs w:val="24"/>
        </w:rPr>
        <w:lastRenderedPageBreak/>
        <w:t>Financial liabilities at amortised cost</w:t>
      </w:r>
    </w:p>
    <w:p w:rsidR="00CE58F0" w:rsidRDefault="00CE58F0" w:rsidP="00CE58F0">
      <w:pPr>
        <w:pStyle w:val="BodyTextIndent2"/>
        <w:tabs>
          <w:tab w:val="left" w:pos="851"/>
        </w:tabs>
        <w:spacing w:after="0"/>
        <w:ind w:left="851"/>
        <w:rPr>
          <w:b/>
          <w:szCs w:val="24"/>
        </w:rPr>
      </w:pPr>
    </w:p>
    <w:p w:rsidR="00CE58F0" w:rsidRDefault="00CE58F0" w:rsidP="00CE58F0">
      <w:pPr>
        <w:pStyle w:val="BodyTextIndent2"/>
        <w:tabs>
          <w:tab w:val="left" w:pos="851"/>
        </w:tabs>
        <w:spacing w:after="0"/>
        <w:ind w:left="851"/>
        <w:rPr>
          <w:szCs w:val="24"/>
        </w:rPr>
      </w:pPr>
      <w:r w:rsidRPr="009C228D">
        <w:rPr>
          <w:szCs w:val="24"/>
        </w:rPr>
        <w:t>Financial liabilities at amortised cost are the default category for financial instruments that do not meet the definition of financial liabilities at fair value through profit and loss.</w:t>
      </w:r>
    </w:p>
    <w:p w:rsidR="00CE58F0" w:rsidRDefault="00CE58F0" w:rsidP="00CE58F0">
      <w:pPr>
        <w:pStyle w:val="BodyTextIndent2"/>
        <w:tabs>
          <w:tab w:val="left" w:pos="851"/>
        </w:tabs>
        <w:spacing w:after="0"/>
        <w:ind w:left="851"/>
        <w:rPr>
          <w:szCs w:val="24"/>
        </w:rPr>
      </w:pPr>
    </w:p>
    <w:p w:rsidR="00CE58F0" w:rsidRPr="00DE0905" w:rsidRDefault="00CE58F0" w:rsidP="00CE58F0">
      <w:pPr>
        <w:numPr>
          <w:ilvl w:val="0"/>
          <w:numId w:val="4"/>
        </w:numPr>
        <w:tabs>
          <w:tab w:val="clear" w:pos="825"/>
          <w:tab w:val="num" w:pos="851"/>
        </w:tabs>
        <w:ind w:left="1113" w:hanging="546"/>
        <w:rPr>
          <w:szCs w:val="24"/>
        </w:rPr>
      </w:pPr>
      <w:r>
        <w:rPr>
          <w:b/>
          <w:szCs w:val="24"/>
        </w:rPr>
        <w:t>Valuation of Investments</w:t>
      </w:r>
    </w:p>
    <w:p w:rsidR="00CE58F0" w:rsidRPr="00166665" w:rsidRDefault="00CE58F0" w:rsidP="00CE58F0">
      <w:pPr>
        <w:ind w:left="1113"/>
        <w:rPr>
          <w:szCs w:val="24"/>
        </w:rPr>
      </w:pPr>
    </w:p>
    <w:p w:rsidR="00CE58F0" w:rsidRDefault="00CE58F0" w:rsidP="00CE58F0">
      <w:pPr>
        <w:pStyle w:val="BodyTextIndent2"/>
        <w:tabs>
          <w:tab w:val="left" w:pos="851"/>
        </w:tabs>
        <w:spacing w:after="0"/>
        <w:ind w:left="851"/>
        <w:rPr>
          <w:szCs w:val="24"/>
        </w:rPr>
      </w:pPr>
      <w:r w:rsidRPr="00166665">
        <w:rPr>
          <w:szCs w:val="24"/>
        </w:rPr>
        <w:t>Investments are shown at their fair value as at 31 March 201</w:t>
      </w:r>
      <w:r>
        <w:rPr>
          <w:szCs w:val="24"/>
        </w:rPr>
        <w:t>4</w:t>
      </w:r>
      <w:r w:rsidRPr="00166665">
        <w:rPr>
          <w:szCs w:val="24"/>
        </w:rPr>
        <w:t>.  The fair value is the current bid price for quoted securities and unitised securities.</w:t>
      </w:r>
    </w:p>
    <w:p w:rsidR="00CE58F0" w:rsidRPr="00166665" w:rsidRDefault="00CE58F0" w:rsidP="00CE58F0">
      <w:pPr>
        <w:pStyle w:val="BodyTextIndent2"/>
        <w:tabs>
          <w:tab w:val="left" w:pos="851"/>
        </w:tabs>
        <w:spacing w:after="0"/>
        <w:ind w:left="851"/>
        <w:rPr>
          <w:szCs w:val="24"/>
        </w:rPr>
      </w:pPr>
    </w:p>
    <w:p w:rsidR="00CE58F0" w:rsidRDefault="00CE58F0" w:rsidP="00CE58F0">
      <w:pPr>
        <w:ind w:left="851"/>
        <w:jc w:val="both"/>
        <w:rPr>
          <w:szCs w:val="24"/>
        </w:rPr>
      </w:pPr>
      <w:r w:rsidRPr="00166665">
        <w:rPr>
          <w:szCs w:val="24"/>
        </w:rPr>
        <w:t>Transaction costs are included</w:t>
      </w:r>
      <w:r>
        <w:rPr>
          <w:szCs w:val="24"/>
        </w:rPr>
        <w:t xml:space="preserve"> in carrying value of investments</w:t>
      </w:r>
      <w:r w:rsidRPr="00166665">
        <w:rPr>
          <w:szCs w:val="24"/>
        </w:rPr>
        <w:t xml:space="preserve">.  Transaction costs include costs charged directly to the Pension Fund, such as fees, commissions paid to agents, brokers and dealers, levies by regulatory agencies and securities exchanges and transfer taxes and duties.  </w:t>
      </w:r>
    </w:p>
    <w:p w:rsidR="00CE58F0" w:rsidRPr="00166665" w:rsidRDefault="00CE58F0" w:rsidP="00CE58F0">
      <w:pPr>
        <w:ind w:left="851"/>
        <w:jc w:val="both"/>
        <w:rPr>
          <w:szCs w:val="24"/>
        </w:rPr>
      </w:pPr>
    </w:p>
    <w:p w:rsidR="00CE58F0" w:rsidRDefault="00CE58F0" w:rsidP="00CE58F0">
      <w:pPr>
        <w:tabs>
          <w:tab w:val="left" w:pos="851"/>
        </w:tabs>
        <w:ind w:left="851"/>
        <w:jc w:val="both"/>
        <w:rPr>
          <w:szCs w:val="24"/>
        </w:rPr>
      </w:pPr>
      <w:r w:rsidRPr="00166665">
        <w:rPr>
          <w:szCs w:val="24"/>
        </w:rPr>
        <w:t xml:space="preserve">Investments in </w:t>
      </w:r>
      <w:r>
        <w:rPr>
          <w:szCs w:val="24"/>
        </w:rPr>
        <w:t>p</w:t>
      </w:r>
      <w:r w:rsidRPr="00166665">
        <w:rPr>
          <w:szCs w:val="24"/>
        </w:rPr>
        <w:t xml:space="preserve">rivate </w:t>
      </w:r>
      <w:r>
        <w:rPr>
          <w:szCs w:val="24"/>
        </w:rPr>
        <w:t>e</w:t>
      </w:r>
      <w:r w:rsidRPr="00166665">
        <w:rPr>
          <w:szCs w:val="24"/>
        </w:rPr>
        <w:t>quity are valued at fair value in accordance with the guidelines issued by the British Venture Capital Association, or equivalent.</w:t>
      </w:r>
    </w:p>
    <w:p w:rsidR="00CE58F0" w:rsidRPr="00166665" w:rsidRDefault="00CE58F0" w:rsidP="00CE58F0">
      <w:pPr>
        <w:tabs>
          <w:tab w:val="left" w:pos="851"/>
        </w:tabs>
        <w:ind w:left="851"/>
        <w:jc w:val="both"/>
        <w:rPr>
          <w:szCs w:val="24"/>
        </w:rPr>
      </w:pPr>
    </w:p>
    <w:p w:rsidR="00CE58F0" w:rsidRDefault="00CE58F0" w:rsidP="00CE58F0">
      <w:pPr>
        <w:tabs>
          <w:tab w:val="left" w:pos="851"/>
        </w:tabs>
        <w:ind w:left="851"/>
        <w:jc w:val="both"/>
        <w:rPr>
          <w:szCs w:val="24"/>
        </w:rPr>
      </w:pPr>
      <w:r>
        <w:rPr>
          <w:szCs w:val="24"/>
        </w:rPr>
        <w:t xml:space="preserve">The methodologies adopted in valuing financial instruments are explained in greater detail in </w:t>
      </w:r>
      <w:r w:rsidRPr="00030B7C">
        <w:rPr>
          <w:szCs w:val="24"/>
        </w:rPr>
        <w:t>note 1</w:t>
      </w:r>
      <w:r>
        <w:rPr>
          <w:szCs w:val="24"/>
        </w:rPr>
        <w:t>6</w:t>
      </w:r>
      <w:r w:rsidRPr="00030B7C">
        <w:rPr>
          <w:szCs w:val="24"/>
        </w:rPr>
        <w:t>.</w:t>
      </w:r>
    </w:p>
    <w:p w:rsidR="00CE58F0" w:rsidRDefault="00CE58F0" w:rsidP="00CE58F0">
      <w:pPr>
        <w:tabs>
          <w:tab w:val="left" w:pos="851"/>
        </w:tabs>
        <w:ind w:left="851"/>
        <w:jc w:val="both"/>
        <w:rPr>
          <w:szCs w:val="24"/>
        </w:rPr>
      </w:pPr>
    </w:p>
    <w:p w:rsidR="00CE58F0" w:rsidRPr="00DE0905" w:rsidRDefault="00CE58F0" w:rsidP="00CE58F0">
      <w:pPr>
        <w:numPr>
          <w:ilvl w:val="0"/>
          <w:numId w:val="4"/>
        </w:numPr>
        <w:tabs>
          <w:tab w:val="clear" w:pos="825"/>
          <w:tab w:val="num" w:pos="851"/>
        </w:tabs>
        <w:ind w:left="1113" w:hanging="546"/>
        <w:rPr>
          <w:szCs w:val="24"/>
        </w:rPr>
      </w:pPr>
      <w:r>
        <w:rPr>
          <w:b/>
          <w:szCs w:val="24"/>
        </w:rPr>
        <w:t>Currency Translation</w:t>
      </w:r>
    </w:p>
    <w:p w:rsidR="00CE58F0" w:rsidRPr="000F6432" w:rsidRDefault="00CE58F0" w:rsidP="00CE58F0">
      <w:pPr>
        <w:ind w:left="1113"/>
        <w:rPr>
          <w:szCs w:val="24"/>
        </w:rPr>
      </w:pPr>
    </w:p>
    <w:p w:rsidR="00CE58F0" w:rsidRDefault="00CE58F0" w:rsidP="00CE58F0">
      <w:pPr>
        <w:pStyle w:val="BodyTextIndent2"/>
        <w:tabs>
          <w:tab w:val="left" w:pos="851"/>
        </w:tabs>
        <w:spacing w:after="0"/>
        <w:ind w:left="851"/>
        <w:rPr>
          <w:szCs w:val="24"/>
        </w:rPr>
      </w:pPr>
      <w:r>
        <w:rPr>
          <w:szCs w:val="24"/>
        </w:rPr>
        <w:t>Assets and liabilities</w:t>
      </w:r>
      <w:r w:rsidRPr="00166665">
        <w:rPr>
          <w:szCs w:val="24"/>
        </w:rPr>
        <w:t xml:space="preserve"> denominated in foreign currency are stated in the accounts by the application of the appropriate closing rate of exchange ruling at 31 March 201</w:t>
      </w:r>
      <w:r>
        <w:rPr>
          <w:szCs w:val="24"/>
        </w:rPr>
        <w:t>4.  Any gains or losses are treated as part of a change in market value of investments.</w:t>
      </w:r>
    </w:p>
    <w:p w:rsidR="00CE58F0" w:rsidRPr="008B2220" w:rsidRDefault="00CE58F0" w:rsidP="00CE58F0">
      <w:pPr>
        <w:pStyle w:val="BodyTextIndent2"/>
        <w:tabs>
          <w:tab w:val="left" w:pos="851"/>
        </w:tabs>
        <w:spacing w:after="0"/>
        <w:ind w:left="851"/>
        <w:rPr>
          <w:szCs w:val="24"/>
        </w:rPr>
      </w:pPr>
    </w:p>
    <w:p w:rsidR="00CE58F0" w:rsidRDefault="00CE58F0" w:rsidP="00CE58F0">
      <w:pPr>
        <w:numPr>
          <w:ilvl w:val="0"/>
          <w:numId w:val="4"/>
        </w:numPr>
        <w:tabs>
          <w:tab w:val="clear" w:pos="825"/>
          <w:tab w:val="num" w:pos="851"/>
        </w:tabs>
        <w:ind w:left="1113" w:hanging="546"/>
        <w:rPr>
          <w:b/>
          <w:szCs w:val="24"/>
        </w:rPr>
      </w:pPr>
      <w:r>
        <w:rPr>
          <w:b/>
          <w:szCs w:val="24"/>
        </w:rPr>
        <w:t>Acquisition costs of Investments</w:t>
      </w:r>
    </w:p>
    <w:p w:rsidR="00CE58F0" w:rsidRDefault="00CE58F0" w:rsidP="00CE58F0">
      <w:pPr>
        <w:ind w:left="1113"/>
        <w:rPr>
          <w:b/>
          <w:szCs w:val="24"/>
        </w:rPr>
      </w:pPr>
    </w:p>
    <w:p w:rsidR="00CE58F0" w:rsidRDefault="00CE58F0" w:rsidP="00CE58F0">
      <w:pPr>
        <w:pStyle w:val="BodyTextIndent2"/>
        <w:tabs>
          <w:tab w:val="left" w:pos="851"/>
        </w:tabs>
        <w:spacing w:after="0"/>
        <w:ind w:left="0"/>
        <w:rPr>
          <w:szCs w:val="24"/>
        </w:rPr>
      </w:pPr>
      <w:r>
        <w:rPr>
          <w:szCs w:val="24"/>
        </w:rPr>
        <w:tab/>
        <w:t xml:space="preserve"> T</w:t>
      </w:r>
      <w:r w:rsidRPr="00D37FEA">
        <w:rPr>
          <w:szCs w:val="24"/>
        </w:rPr>
        <w:t xml:space="preserve">he </w:t>
      </w:r>
      <w:r>
        <w:rPr>
          <w:szCs w:val="24"/>
        </w:rPr>
        <w:t>Acquisition costs of investments are included within the purchase price.</w:t>
      </w:r>
    </w:p>
    <w:p w:rsidR="00CE58F0" w:rsidRDefault="00CE58F0" w:rsidP="00CE58F0">
      <w:pPr>
        <w:pStyle w:val="BodyTextIndent2"/>
        <w:tabs>
          <w:tab w:val="left" w:pos="851"/>
        </w:tabs>
        <w:spacing w:after="0"/>
        <w:rPr>
          <w:szCs w:val="24"/>
        </w:rPr>
      </w:pPr>
    </w:p>
    <w:p w:rsidR="00CE58F0" w:rsidRDefault="00CE58F0" w:rsidP="00CE58F0">
      <w:pPr>
        <w:numPr>
          <w:ilvl w:val="0"/>
          <w:numId w:val="4"/>
        </w:numPr>
        <w:tabs>
          <w:tab w:val="clear" w:pos="825"/>
          <w:tab w:val="num" w:pos="851"/>
        </w:tabs>
        <w:ind w:left="1113" w:hanging="546"/>
        <w:rPr>
          <w:b/>
          <w:szCs w:val="24"/>
        </w:rPr>
      </w:pPr>
      <w:r w:rsidRPr="008B2220">
        <w:rPr>
          <w:b/>
          <w:szCs w:val="24"/>
        </w:rPr>
        <w:t xml:space="preserve"> </w:t>
      </w:r>
      <w:r>
        <w:rPr>
          <w:b/>
          <w:szCs w:val="24"/>
        </w:rPr>
        <w:t>Property</w:t>
      </w:r>
    </w:p>
    <w:p w:rsidR="00CE58F0" w:rsidRPr="008B2220" w:rsidRDefault="00CE58F0" w:rsidP="00CE58F0">
      <w:pPr>
        <w:ind w:left="1113"/>
        <w:rPr>
          <w:b/>
          <w:szCs w:val="24"/>
        </w:rPr>
      </w:pPr>
    </w:p>
    <w:p w:rsidR="00CE58F0" w:rsidRDefault="00CE58F0" w:rsidP="00CE58F0">
      <w:pPr>
        <w:tabs>
          <w:tab w:val="left" w:pos="851"/>
        </w:tabs>
        <w:ind w:left="851"/>
        <w:jc w:val="both"/>
        <w:rPr>
          <w:szCs w:val="24"/>
        </w:rPr>
      </w:pPr>
      <w:r>
        <w:rPr>
          <w:szCs w:val="24"/>
        </w:rPr>
        <w:t>The fund's freehold and leasehold properties were valued on 31 March 2014 by Cushman &amp; W</w:t>
      </w:r>
      <w:r w:rsidR="004534A9">
        <w:rPr>
          <w:szCs w:val="24"/>
        </w:rPr>
        <w:t xml:space="preserve">akefield, acting as External </w:t>
      </w:r>
      <w:r>
        <w:rPr>
          <w:szCs w:val="24"/>
        </w:rPr>
        <w:t>Valuer.  The valuations were in accordance with the requirements of the RICS Valuation standards and the International Valuation Standards.  The valuation of each property was on the basis of Market Value, assuming that the property would be sold subject to any existing leases.  The valuer's opinion of Market Value and Existing Use Value was primarily derived using comparable recent market transactions on arm's length terms.</w:t>
      </w:r>
    </w:p>
    <w:p w:rsidR="00CE58F0" w:rsidRDefault="00CE58F0" w:rsidP="00CE58F0">
      <w:pPr>
        <w:tabs>
          <w:tab w:val="left" w:pos="851"/>
        </w:tabs>
        <w:ind w:left="851"/>
        <w:jc w:val="both"/>
        <w:rPr>
          <w:szCs w:val="24"/>
        </w:rPr>
      </w:pPr>
    </w:p>
    <w:p w:rsidR="00CE58F0" w:rsidRDefault="00CE58F0" w:rsidP="00CE58F0">
      <w:pPr>
        <w:numPr>
          <w:ilvl w:val="0"/>
          <w:numId w:val="4"/>
        </w:numPr>
        <w:tabs>
          <w:tab w:val="clear" w:pos="825"/>
          <w:tab w:val="num" w:pos="851"/>
        </w:tabs>
        <w:ind w:left="1113" w:hanging="546"/>
        <w:rPr>
          <w:b/>
          <w:szCs w:val="24"/>
        </w:rPr>
      </w:pPr>
      <w:r>
        <w:rPr>
          <w:b/>
          <w:szCs w:val="24"/>
        </w:rPr>
        <w:t>Derivatives</w:t>
      </w:r>
    </w:p>
    <w:p w:rsidR="00CE58F0" w:rsidRDefault="00CE58F0" w:rsidP="00CE58F0">
      <w:pPr>
        <w:ind w:left="1113"/>
        <w:rPr>
          <w:b/>
          <w:szCs w:val="24"/>
        </w:rPr>
      </w:pPr>
    </w:p>
    <w:p w:rsidR="00CE58F0" w:rsidRDefault="00CE58F0" w:rsidP="00CE58F0">
      <w:pPr>
        <w:pStyle w:val="BodyTextIndent2"/>
        <w:tabs>
          <w:tab w:val="left" w:pos="851"/>
        </w:tabs>
        <w:spacing w:after="0"/>
        <w:ind w:left="851"/>
        <w:rPr>
          <w:szCs w:val="24"/>
        </w:rPr>
      </w:pPr>
      <w:r>
        <w:rPr>
          <w:szCs w:val="24"/>
        </w:rPr>
        <w:t>The fund uses derivative financial instruments to manage its exposure to specific risks arising from its investment activities.  The fund does not hold derivatives for speculative purposes.</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Pr>
          <w:szCs w:val="24"/>
        </w:rPr>
        <w:t>Derivative contract assets are fair valued at bid prices and liabilities are fair valued at offer prices.  Changes in fair value of derivative contracts are included in change in market value.</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Pr>
          <w:szCs w:val="24"/>
        </w:rPr>
        <w:lastRenderedPageBreak/>
        <w:t>Future contracts</w:t>
      </w:r>
      <w:r w:rsidRPr="00166665">
        <w:rPr>
          <w:szCs w:val="24"/>
        </w:rPr>
        <w:t xml:space="preserve"> are exchange traded and fair value is determined using exchange prices at their reporting date. </w:t>
      </w:r>
      <w:r>
        <w:rPr>
          <w:szCs w:val="24"/>
        </w:rPr>
        <w:t>Amounts due or owed to the broker are amounts outstanding in respect of initial margin and variation margin.</w:t>
      </w:r>
    </w:p>
    <w:p w:rsidR="00CE58F0" w:rsidRPr="00166665"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sidRPr="00166665">
        <w:rPr>
          <w:szCs w:val="24"/>
        </w:rPr>
        <w:t>Forward foreign exchange contracts, are over the counter contracts and are valued by determining the gain or loss that arise from closing out the contract at the reporting date, by entering into an equal and opposite contract at that date</w:t>
      </w:r>
      <w:r>
        <w:rPr>
          <w:szCs w:val="24"/>
        </w:rPr>
        <w:t>.</w:t>
      </w:r>
    </w:p>
    <w:p w:rsidR="00CE58F0" w:rsidRDefault="00CE58F0" w:rsidP="00CE58F0">
      <w:pPr>
        <w:pStyle w:val="BodyTextIndent2"/>
        <w:tabs>
          <w:tab w:val="left" w:pos="851"/>
        </w:tabs>
        <w:spacing w:after="0"/>
        <w:ind w:left="851"/>
        <w:rPr>
          <w:szCs w:val="24"/>
        </w:rPr>
      </w:pPr>
    </w:p>
    <w:p w:rsidR="00CE58F0" w:rsidRDefault="00CE58F0" w:rsidP="00CE58F0">
      <w:pPr>
        <w:numPr>
          <w:ilvl w:val="0"/>
          <w:numId w:val="4"/>
        </w:numPr>
        <w:tabs>
          <w:tab w:val="clear" w:pos="825"/>
          <w:tab w:val="num" w:pos="851"/>
        </w:tabs>
        <w:ind w:left="1113" w:hanging="546"/>
        <w:rPr>
          <w:b/>
          <w:szCs w:val="24"/>
        </w:rPr>
      </w:pPr>
      <w:r>
        <w:rPr>
          <w:b/>
          <w:szCs w:val="24"/>
        </w:rPr>
        <w:t>Cash and cash equivalents</w:t>
      </w:r>
    </w:p>
    <w:p w:rsidR="00CE58F0" w:rsidRDefault="00CE58F0" w:rsidP="00CE58F0">
      <w:pPr>
        <w:ind w:left="1113"/>
        <w:rPr>
          <w:b/>
          <w:szCs w:val="24"/>
        </w:rPr>
      </w:pPr>
    </w:p>
    <w:p w:rsidR="00CE58F0" w:rsidRDefault="00CE58F0" w:rsidP="00CE58F0">
      <w:pPr>
        <w:pStyle w:val="BodyTextIndent2"/>
        <w:tabs>
          <w:tab w:val="left" w:pos="851"/>
        </w:tabs>
        <w:spacing w:after="0"/>
        <w:ind w:left="851"/>
        <w:rPr>
          <w:szCs w:val="24"/>
        </w:rPr>
      </w:pPr>
      <w:r>
        <w:rPr>
          <w:szCs w:val="24"/>
        </w:rPr>
        <w:t>Cash comprises of cash in hand and on demand deposits.</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Pr>
          <w:szCs w:val="24"/>
        </w:rPr>
        <w:t>Cash equivalents are short-term, highly liquid investments that are readily convertible to known amounts of cash and that are subject to minimal risk of changes in value.</w:t>
      </w:r>
    </w:p>
    <w:p w:rsidR="00CE58F0" w:rsidRDefault="00CE58F0" w:rsidP="00CE58F0">
      <w:pPr>
        <w:pStyle w:val="BodyTextIndent2"/>
        <w:tabs>
          <w:tab w:val="left" w:pos="851"/>
        </w:tabs>
        <w:spacing w:after="0"/>
        <w:ind w:left="851"/>
        <w:rPr>
          <w:szCs w:val="24"/>
        </w:rPr>
      </w:pPr>
    </w:p>
    <w:p w:rsidR="00CE58F0" w:rsidRDefault="00CE58F0" w:rsidP="00CE58F0">
      <w:pPr>
        <w:numPr>
          <w:ilvl w:val="0"/>
          <w:numId w:val="4"/>
        </w:numPr>
        <w:tabs>
          <w:tab w:val="clear" w:pos="825"/>
          <w:tab w:val="num" w:pos="851"/>
        </w:tabs>
        <w:ind w:left="1113" w:hanging="546"/>
        <w:rPr>
          <w:b/>
          <w:szCs w:val="24"/>
        </w:rPr>
      </w:pPr>
      <w:r>
        <w:rPr>
          <w:b/>
          <w:szCs w:val="24"/>
        </w:rPr>
        <w:t>Financial liabilities</w:t>
      </w:r>
    </w:p>
    <w:p w:rsidR="00CE58F0" w:rsidRDefault="00CE58F0" w:rsidP="00CE58F0">
      <w:pPr>
        <w:ind w:left="1113"/>
        <w:rPr>
          <w:b/>
          <w:szCs w:val="24"/>
        </w:rPr>
      </w:pPr>
    </w:p>
    <w:p w:rsidR="00CE58F0" w:rsidRDefault="00CE58F0" w:rsidP="0095309D">
      <w:pPr>
        <w:pStyle w:val="BodyTextIndent2"/>
        <w:tabs>
          <w:tab w:val="left" w:pos="851"/>
        </w:tabs>
        <w:spacing w:after="0"/>
        <w:ind w:left="851"/>
        <w:rPr>
          <w:szCs w:val="24"/>
        </w:rPr>
      </w:pPr>
      <w:r>
        <w:rPr>
          <w:szCs w:val="24"/>
        </w:rPr>
        <w:t xml:space="preserve">The fund recognises financial liabilities at fair value other than loans and receivables at the reporting date. A financial liability is recognised in the net asset statement on the date </w:t>
      </w:r>
      <w:r w:rsidR="00783C33">
        <w:rPr>
          <w:szCs w:val="24"/>
        </w:rPr>
        <w:t xml:space="preserve">  </w:t>
      </w:r>
      <w:r>
        <w:rPr>
          <w:szCs w:val="24"/>
        </w:rPr>
        <w:t>the fund becomes party to a liability.  From this date any gains or losses arising from changes in the fair value of the liability are recognised by the fund.</w:t>
      </w:r>
    </w:p>
    <w:p w:rsidR="00CE58F0" w:rsidRDefault="00CE58F0" w:rsidP="00CE58F0">
      <w:pPr>
        <w:pStyle w:val="BodyTextIndent2"/>
        <w:tabs>
          <w:tab w:val="left" w:pos="851"/>
        </w:tabs>
        <w:spacing w:after="0"/>
        <w:ind w:left="851"/>
        <w:rPr>
          <w:szCs w:val="24"/>
        </w:rPr>
      </w:pPr>
    </w:p>
    <w:p w:rsidR="00CE58F0" w:rsidRDefault="00CE58F0" w:rsidP="00CE58F0">
      <w:pPr>
        <w:numPr>
          <w:ilvl w:val="0"/>
          <w:numId w:val="4"/>
        </w:numPr>
        <w:tabs>
          <w:tab w:val="clear" w:pos="825"/>
          <w:tab w:val="num" w:pos="851"/>
        </w:tabs>
        <w:ind w:left="1113" w:hanging="546"/>
        <w:rPr>
          <w:b/>
          <w:szCs w:val="24"/>
        </w:rPr>
      </w:pPr>
      <w:r>
        <w:rPr>
          <w:b/>
          <w:szCs w:val="24"/>
        </w:rPr>
        <w:t>Actuarial present value of promised retirement benefits</w:t>
      </w:r>
    </w:p>
    <w:p w:rsidR="00CE58F0" w:rsidRDefault="00CE58F0" w:rsidP="00CE58F0">
      <w:pPr>
        <w:ind w:left="1113"/>
        <w:rPr>
          <w:b/>
          <w:szCs w:val="24"/>
        </w:rPr>
      </w:pPr>
    </w:p>
    <w:p w:rsidR="00CE58F0" w:rsidRDefault="00CE58F0" w:rsidP="00CE58F0">
      <w:pPr>
        <w:pStyle w:val="BodyTextIndent2"/>
        <w:tabs>
          <w:tab w:val="left" w:pos="851"/>
        </w:tabs>
        <w:spacing w:after="0"/>
        <w:ind w:left="851"/>
        <w:rPr>
          <w:szCs w:val="24"/>
        </w:rPr>
      </w:pPr>
      <w:r>
        <w:rPr>
          <w:szCs w:val="24"/>
        </w:rPr>
        <w:t>The actuarial present value of promised retirement benefits is assessed on a triennial basis by the scheme actuary in accordance with the requirements of IAS19 and relevant actuarial standards.</w:t>
      </w:r>
    </w:p>
    <w:p w:rsidR="00CE58F0" w:rsidRDefault="00CE58F0" w:rsidP="00CE58F0">
      <w:pPr>
        <w:pStyle w:val="BodyTextIndent2"/>
        <w:tabs>
          <w:tab w:val="left" w:pos="851"/>
        </w:tabs>
        <w:spacing w:after="0"/>
        <w:ind w:left="851"/>
        <w:rPr>
          <w:szCs w:val="24"/>
        </w:rPr>
      </w:pPr>
    </w:p>
    <w:p w:rsidR="00CE58F0" w:rsidRDefault="00CE58F0" w:rsidP="00CE58F0">
      <w:pPr>
        <w:pStyle w:val="BodyTextIndent2"/>
        <w:tabs>
          <w:tab w:val="left" w:pos="851"/>
        </w:tabs>
        <w:spacing w:after="0"/>
        <w:ind w:left="851"/>
        <w:rPr>
          <w:szCs w:val="24"/>
        </w:rPr>
      </w:pPr>
      <w:r w:rsidRPr="00AD17B7">
        <w:rPr>
          <w:szCs w:val="24"/>
        </w:rPr>
        <w:t>As permitted under IAS 26 the fund has opted to disclose the actuarial present value of promised retirement benefits by way of a note to the net asset statement (</w:t>
      </w:r>
      <w:r>
        <w:rPr>
          <w:szCs w:val="24"/>
        </w:rPr>
        <w:t>n</w:t>
      </w:r>
      <w:r w:rsidRPr="00AD17B7">
        <w:rPr>
          <w:szCs w:val="24"/>
        </w:rPr>
        <w:t xml:space="preserve">ote </w:t>
      </w:r>
      <w:r>
        <w:rPr>
          <w:szCs w:val="24"/>
        </w:rPr>
        <w:t>27</w:t>
      </w:r>
      <w:r w:rsidRPr="00AD17B7">
        <w:rPr>
          <w:szCs w:val="24"/>
        </w:rPr>
        <w:t>).</w:t>
      </w:r>
    </w:p>
    <w:p w:rsidR="00CE58F0" w:rsidRPr="00B853EB" w:rsidRDefault="00CE58F0" w:rsidP="00CE58F0">
      <w:pPr>
        <w:pStyle w:val="BodyTextIndent2"/>
        <w:tabs>
          <w:tab w:val="left" w:pos="851"/>
        </w:tabs>
        <w:spacing w:after="0"/>
        <w:ind w:left="851"/>
        <w:rPr>
          <w:szCs w:val="24"/>
        </w:rPr>
      </w:pPr>
    </w:p>
    <w:p w:rsidR="00CE58F0" w:rsidRDefault="00CE58F0" w:rsidP="00CE58F0">
      <w:pPr>
        <w:numPr>
          <w:ilvl w:val="0"/>
          <w:numId w:val="4"/>
        </w:numPr>
        <w:tabs>
          <w:tab w:val="clear" w:pos="825"/>
          <w:tab w:val="num" w:pos="851"/>
        </w:tabs>
        <w:ind w:left="1113" w:hanging="546"/>
        <w:rPr>
          <w:b/>
          <w:szCs w:val="24"/>
        </w:rPr>
      </w:pPr>
      <w:r>
        <w:rPr>
          <w:b/>
          <w:szCs w:val="24"/>
        </w:rPr>
        <w:t>Additional voluntary contributions</w:t>
      </w:r>
    </w:p>
    <w:p w:rsidR="00CE58F0" w:rsidRPr="00B853EB" w:rsidRDefault="00CE58F0" w:rsidP="00CE58F0">
      <w:pPr>
        <w:ind w:left="1113"/>
        <w:rPr>
          <w:b/>
          <w:szCs w:val="24"/>
        </w:rPr>
      </w:pPr>
    </w:p>
    <w:p w:rsidR="00CE58F0" w:rsidRDefault="00CE58F0" w:rsidP="00CE58F0">
      <w:pPr>
        <w:pStyle w:val="BodyTextIndent2"/>
        <w:tabs>
          <w:tab w:val="left" w:pos="851"/>
        </w:tabs>
        <w:spacing w:after="0"/>
        <w:ind w:left="851"/>
        <w:rPr>
          <w:szCs w:val="24"/>
        </w:rPr>
      </w:pPr>
      <w:r w:rsidRPr="00166665">
        <w:rPr>
          <w:szCs w:val="24"/>
        </w:rPr>
        <w:t xml:space="preserve">The AVC providers to the Pension Fund are Equitable Life and Prudential.  The AVC’s are invested separately from the Pension Fund’s main assets and used to acquire additional money purchase benefits.  These are not included in the Pension Fund accounts in accordance with </w:t>
      </w:r>
      <w:r>
        <w:rPr>
          <w:szCs w:val="24"/>
        </w:rPr>
        <w:t>section 4(2) (b)</w:t>
      </w:r>
      <w:r w:rsidRPr="00166665">
        <w:rPr>
          <w:szCs w:val="24"/>
        </w:rPr>
        <w:t xml:space="preserve"> of the Local Government Pension Scheme (Management and Investment of Funds) Regulations </w:t>
      </w:r>
      <w:r>
        <w:rPr>
          <w:szCs w:val="24"/>
        </w:rPr>
        <w:t>2009</w:t>
      </w:r>
      <w:r w:rsidRPr="00166665">
        <w:rPr>
          <w:szCs w:val="24"/>
        </w:rPr>
        <w:t xml:space="preserve"> (SI </w:t>
      </w:r>
      <w:r>
        <w:rPr>
          <w:szCs w:val="24"/>
        </w:rPr>
        <w:t>2009/3093</w:t>
      </w:r>
      <w:r w:rsidRPr="00166665">
        <w:rPr>
          <w:szCs w:val="24"/>
        </w:rPr>
        <w:t>). Members participating in these AVC arrangements each receive an annual statement confirming the amounts held in their account and the movements during the year.   A summary of the information provided by Equitable Life and Prude</w:t>
      </w:r>
      <w:r>
        <w:rPr>
          <w:szCs w:val="24"/>
        </w:rPr>
        <w:t>ntial is shown in n</w:t>
      </w:r>
      <w:r w:rsidRPr="00433269">
        <w:rPr>
          <w:szCs w:val="24"/>
        </w:rPr>
        <w:t xml:space="preserve">ote </w:t>
      </w:r>
      <w:r>
        <w:rPr>
          <w:szCs w:val="24"/>
        </w:rPr>
        <w:t>18.</w:t>
      </w:r>
    </w:p>
    <w:p w:rsidR="00CE58F0" w:rsidRDefault="00CE58F0" w:rsidP="00CE58F0">
      <w:pPr>
        <w:pStyle w:val="BodyTextIndent2"/>
        <w:tabs>
          <w:tab w:val="left" w:pos="851"/>
        </w:tabs>
        <w:spacing w:after="0"/>
        <w:ind w:left="851"/>
        <w:rPr>
          <w:szCs w:val="24"/>
        </w:rPr>
      </w:pPr>
    </w:p>
    <w:p w:rsidR="00CE58F0" w:rsidRPr="00661385" w:rsidRDefault="00CE58F0" w:rsidP="00CE58F0">
      <w:pPr>
        <w:pStyle w:val="ListParagraph"/>
        <w:numPr>
          <w:ilvl w:val="0"/>
          <w:numId w:val="4"/>
        </w:numPr>
        <w:tabs>
          <w:tab w:val="clear" w:pos="825"/>
        </w:tabs>
        <w:ind w:left="851" w:hanging="284"/>
        <w:rPr>
          <w:b/>
        </w:rPr>
      </w:pPr>
      <w:r w:rsidRPr="00661385">
        <w:rPr>
          <w:b/>
        </w:rPr>
        <w:t>Securities Lending</w:t>
      </w:r>
    </w:p>
    <w:p w:rsidR="00CE58F0" w:rsidRDefault="00CE58F0" w:rsidP="00CE58F0">
      <w:pPr>
        <w:ind w:firstLine="851"/>
        <w:rPr>
          <w:b/>
        </w:rPr>
      </w:pPr>
    </w:p>
    <w:p w:rsidR="00CE58F0" w:rsidRDefault="00CE58F0" w:rsidP="00CE58F0">
      <w:pPr>
        <w:ind w:left="851"/>
      </w:pPr>
      <w:r>
        <w:t>Investments lent under securities lending arrangements continue to be recognised in the net asset statement to reflect the scheme's continuing economic interest in the securities and are measured in accordance with the accounting policy for assets 'at fair value through profit and loss' or 'available for sale' as appropriate.</w:t>
      </w:r>
    </w:p>
    <w:p w:rsidR="00CE58F0" w:rsidRDefault="00CE58F0" w:rsidP="00CE58F0">
      <w:pPr>
        <w:ind w:left="851"/>
      </w:pPr>
      <w:r w:rsidRPr="00B6433E">
        <w:rPr>
          <w:szCs w:val="24"/>
        </w:rPr>
        <w:t xml:space="preserve">Collateral is marked to market, and adjusted daily. </w:t>
      </w:r>
      <w:r>
        <w:rPr>
          <w:szCs w:val="24"/>
        </w:rPr>
        <w:t xml:space="preserve"> </w:t>
      </w:r>
      <w:r w:rsidRPr="00B6433E">
        <w:rPr>
          <w:szCs w:val="24"/>
        </w:rPr>
        <w:t xml:space="preserve">As the Fund has </w:t>
      </w:r>
      <w:r>
        <w:rPr>
          <w:szCs w:val="24"/>
        </w:rPr>
        <w:t>an</w:t>
      </w:r>
      <w:r w:rsidRPr="00B6433E">
        <w:rPr>
          <w:szCs w:val="24"/>
        </w:rPr>
        <w:t xml:space="preserve"> obligation to return the collateral to the borrowers, collateral is excluded from the Fund valuation</w:t>
      </w:r>
      <w:r>
        <w:rPr>
          <w:szCs w:val="24"/>
        </w:rPr>
        <w:t>.</w:t>
      </w:r>
    </w:p>
    <w:p w:rsidR="00CE58F0" w:rsidRDefault="00CE58F0" w:rsidP="00CE58F0"/>
    <w:p w:rsidR="00CE58F0" w:rsidRDefault="00CE58F0" w:rsidP="00CE58F0">
      <w:pPr>
        <w:pStyle w:val="NormalWeb"/>
        <w:numPr>
          <w:ilvl w:val="0"/>
          <w:numId w:val="4"/>
        </w:numPr>
        <w:tabs>
          <w:tab w:val="clear" w:pos="825"/>
        </w:tabs>
        <w:ind w:left="851" w:hanging="284"/>
        <w:rPr>
          <w:rFonts w:ascii="Arial" w:eastAsiaTheme="minorHAnsi" w:hAnsi="Arial" w:cstheme="minorBidi"/>
          <w:b/>
          <w:bCs/>
          <w:szCs w:val="22"/>
          <w:lang w:eastAsia="en-US"/>
        </w:rPr>
      </w:pPr>
      <w:r w:rsidRPr="00EE30FE">
        <w:rPr>
          <w:rFonts w:ascii="Arial" w:eastAsiaTheme="minorHAnsi" w:hAnsi="Arial" w:cstheme="minorBidi"/>
          <w:b/>
          <w:bCs/>
          <w:szCs w:val="22"/>
          <w:lang w:eastAsia="en-US"/>
        </w:rPr>
        <w:lastRenderedPageBreak/>
        <w:t>Contingent liabilities and contingent assets   </w:t>
      </w:r>
    </w:p>
    <w:p w:rsidR="00CE58F0" w:rsidRPr="00EE30FE" w:rsidRDefault="00CE58F0" w:rsidP="00CE58F0">
      <w:pPr>
        <w:pStyle w:val="NormalWeb"/>
        <w:ind w:left="851"/>
        <w:jc w:val="both"/>
        <w:rPr>
          <w:rFonts w:ascii="Arial" w:eastAsiaTheme="minorHAnsi" w:hAnsi="Arial" w:cstheme="minorBidi"/>
          <w:szCs w:val="22"/>
          <w:lang w:eastAsia="en-US"/>
        </w:rPr>
      </w:pPr>
      <w:r w:rsidRPr="00EE30FE">
        <w:rPr>
          <w:rFonts w:ascii="Arial" w:eastAsiaTheme="minorHAnsi" w:hAnsi="Arial" w:cstheme="minorBidi"/>
          <w:szCs w:val="22"/>
          <w:lang w:eastAsia="en-US"/>
        </w:rPr>
        <w:t xml:space="preserve">A contingent liability is a possible obligation that arises from past events whose existence will be confirmed by the occurrence or non-occurrence of one or more uncertain future events beyond the control of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or a present obligation that is not</w:t>
      </w:r>
      <w:r w:rsidRPr="004534A9">
        <w:rPr>
          <w:rFonts w:ascii="Arial" w:eastAsiaTheme="minorHAnsi" w:hAnsi="Arial" w:cstheme="minorBidi"/>
          <w:szCs w:val="22"/>
          <w:lang w:val="en-GB" w:eastAsia="en-US"/>
        </w:rPr>
        <w:t xml:space="preserve"> recognised</w:t>
      </w:r>
      <w:r w:rsidRPr="00EE30FE">
        <w:rPr>
          <w:rFonts w:ascii="Arial" w:eastAsiaTheme="minorHAnsi" w:hAnsi="Arial" w:cstheme="minorBidi"/>
          <w:szCs w:val="22"/>
          <w:lang w:eastAsia="en-US"/>
        </w:rPr>
        <w:t xml:space="preserve"> because it is not probable that an outflow of resources will be required to settle the obligation. A contingent liability also arises in extremely rare cases where there is a liability that cannot be recognised because it cannot be measured reliably.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does not recognise a contingent liability but discloses its existence in the financial statements.</w:t>
      </w:r>
    </w:p>
    <w:p w:rsidR="00CE58F0" w:rsidRDefault="00CE58F0" w:rsidP="00CE58F0">
      <w:pPr>
        <w:pStyle w:val="BodyTextIndent2"/>
        <w:tabs>
          <w:tab w:val="left" w:pos="851"/>
        </w:tabs>
        <w:spacing w:after="0"/>
        <w:ind w:left="851"/>
        <w:rPr>
          <w:rFonts w:eastAsiaTheme="minorHAnsi" w:cstheme="minorBidi"/>
          <w:szCs w:val="22"/>
          <w:lang w:eastAsia="en-US"/>
        </w:rPr>
      </w:pPr>
      <w:r w:rsidRPr="00EE30FE">
        <w:rPr>
          <w:rFonts w:eastAsiaTheme="minorHAnsi" w:cstheme="minorBidi"/>
          <w:szCs w:val="22"/>
          <w:lang w:eastAsia="en-US"/>
        </w:rPr>
        <w:t xml:space="preserve">A contingent asset is a possible asset that arises from past events whose existence will be confirmed by the occurrence or non-occurrence of one or more uncertain future events beyond the control of the </w:t>
      </w:r>
      <w:r>
        <w:rPr>
          <w:rFonts w:eastAsiaTheme="minorHAnsi" w:cstheme="minorBidi"/>
          <w:szCs w:val="22"/>
          <w:lang w:eastAsia="en-US"/>
        </w:rPr>
        <w:t>Fund</w:t>
      </w:r>
      <w:r w:rsidRPr="00EE30FE">
        <w:rPr>
          <w:rFonts w:eastAsiaTheme="minorHAnsi" w:cstheme="minorBidi"/>
          <w:szCs w:val="22"/>
          <w:lang w:eastAsia="en-US"/>
        </w:rPr>
        <w:t xml:space="preserve">. The </w:t>
      </w:r>
      <w:r>
        <w:rPr>
          <w:rFonts w:eastAsiaTheme="minorHAnsi" w:cstheme="minorBidi"/>
          <w:szCs w:val="22"/>
          <w:lang w:eastAsia="en-US"/>
        </w:rPr>
        <w:t>Fund</w:t>
      </w:r>
      <w:r w:rsidRPr="00EE30FE">
        <w:rPr>
          <w:rFonts w:eastAsiaTheme="minorHAnsi" w:cstheme="minorBidi"/>
          <w:szCs w:val="22"/>
          <w:lang w:eastAsia="en-US"/>
        </w:rPr>
        <w:t xml:space="preserve"> does not recognise contingent assets but discloses its existence where inflows of economic benefits are probable, but not virtually certain</w:t>
      </w:r>
      <w:r>
        <w:rPr>
          <w:rFonts w:eastAsiaTheme="minorHAnsi" w:cstheme="minorBidi"/>
          <w:szCs w:val="22"/>
          <w:lang w:eastAsia="en-US"/>
        </w:rPr>
        <w:t>.</w:t>
      </w:r>
    </w:p>
    <w:p w:rsidR="00CE58F0" w:rsidRDefault="00CE58F0" w:rsidP="00CE58F0">
      <w:pPr>
        <w:pStyle w:val="BodyTextIndent2"/>
        <w:tabs>
          <w:tab w:val="left" w:pos="851"/>
        </w:tabs>
        <w:spacing w:after="0"/>
        <w:ind w:left="851"/>
        <w:rPr>
          <w:rFonts w:eastAsiaTheme="minorHAnsi" w:cstheme="minorBidi"/>
          <w:szCs w:val="22"/>
          <w:lang w:eastAsia="en-US"/>
        </w:rPr>
      </w:pPr>
    </w:p>
    <w:p w:rsidR="00CE58F0" w:rsidRPr="00B853EB" w:rsidRDefault="00CE58F0" w:rsidP="00CE58F0">
      <w:pPr>
        <w:pStyle w:val="BodyTextIndent2"/>
        <w:tabs>
          <w:tab w:val="left" w:pos="851"/>
        </w:tabs>
        <w:spacing w:after="0"/>
        <w:ind w:left="851"/>
        <w:rPr>
          <w:szCs w:val="24"/>
        </w:rPr>
      </w:pPr>
    </w:p>
    <w:p w:rsidR="00CE58F0" w:rsidRPr="00636AC9" w:rsidRDefault="00CE58F0" w:rsidP="00CE58F0">
      <w:pPr>
        <w:pStyle w:val="BodyTextIndent"/>
        <w:numPr>
          <w:ilvl w:val="0"/>
          <w:numId w:val="2"/>
        </w:numPr>
        <w:tabs>
          <w:tab w:val="clear" w:pos="720"/>
          <w:tab w:val="clear" w:pos="1080"/>
          <w:tab w:val="num" w:pos="567"/>
          <w:tab w:val="num" w:pos="862"/>
        </w:tabs>
        <w:spacing w:after="0"/>
        <w:ind w:left="567" w:hanging="567"/>
        <w:rPr>
          <w:b/>
          <w:szCs w:val="24"/>
        </w:rPr>
      </w:pPr>
      <w:r w:rsidRPr="00D37FEA">
        <w:rPr>
          <w:b/>
          <w:szCs w:val="24"/>
        </w:rPr>
        <w:t xml:space="preserve">Assumptions </w:t>
      </w:r>
      <w:r w:rsidRPr="00D37FEA">
        <w:rPr>
          <w:b/>
        </w:rPr>
        <w:t>made about the future and other major sources of estimated uncertainty</w:t>
      </w:r>
    </w:p>
    <w:p w:rsidR="00CE58F0" w:rsidRPr="00D37FEA" w:rsidRDefault="00CE58F0" w:rsidP="00CE58F0">
      <w:pPr>
        <w:pStyle w:val="BodyTextIndent"/>
        <w:tabs>
          <w:tab w:val="clear" w:pos="1080"/>
        </w:tabs>
        <w:spacing w:after="0"/>
        <w:ind w:left="709"/>
        <w:rPr>
          <w:b/>
          <w:szCs w:val="24"/>
        </w:rPr>
      </w:pPr>
    </w:p>
    <w:p w:rsidR="00CE58F0" w:rsidRDefault="00CE58F0" w:rsidP="00CE58F0">
      <w:pPr>
        <w:pStyle w:val="BodyTextIndent2"/>
        <w:tabs>
          <w:tab w:val="left" w:pos="709"/>
        </w:tabs>
        <w:spacing w:after="0"/>
        <w:ind w:left="567"/>
        <w:rPr>
          <w:szCs w:val="24"/>
        </w:rPr>
      </w:pPr>
      <w:r>
        <w:rPr>
          <w:szCs w:val="24"/>
        </w:rPr>
        <w:t xml:space="preserve">The Statement of Accounts </w:t>
      </w:r>
      <w:r w:rsidRPr="00D37FEA">
        <w:rPr>
          <w:szCs w:val="24"/>
        </w:rPr>
        <w:t>contains estimated figures that are based on</w:t>
      </w:r>
      <w:r>
        <w:rPr>
          <w:szCs w:val="24"/>
        </w:rPr>
        <w:t xml:space="preserve"> assumptions made by</w:t>
      </w:r>
      <w:r w:rsidRPr="00D37FEA">
        <w:rPr>
          <w:szCs w:val="24"/>
        </w:rPr>
        <w:t xml:space="preserve"> the Pension Fund about the future or that are otherwise uncertain.  Estimates are made taking into account historical experience, current trends and other relevant factors. </w:t>
      </w:r>
      <w:r>
        <w:rPr>
          <w:szCs w:val="24"/>
        </w:rPr>
        <w:t xml:space="preserve"> </w:t>
      </w:r>
    </w:p>
    <w:p w:rsidR="00CE58F0" w:rsidRDefault="00CE58F0" w:rsidP="00CE58F0">
      <w:pPr>
        <w:pStyle w:val="BodyTextIndent2"/>
        <w:tabs>
          <w:tab w:val="left" w:pos="709"/>
        </w:tabs>
        <w:spacing w:after="0"/>
        <w:ind w:left="567"/>
        <w:rPr>
          <w:szCs w:val="24"/>
        </w:rPr>
      </w:pPr>
    </w:p>
    <w:p w:rsidR="00CE58F0" w:rsidRDefault="00CE58F0" w:rsidP="00CE58F0">
      <w:pPr>
        <w:pStyle w:val="BodyTextIndent2"/>
        <w:tabs>
          <w:tab w:val="left" w:pos="709"/>
        </w:tabs>
        <w:spacing w:after="0"/>
        <w:ind w:left="567"/>
        <w:rPr>
          <w:szCs w:val="24"/>
        </w:rPr>
      </w:pPr>
    </w:p>
    <w:p w:rsidR="00CE58F0" w:rsidRDefault="00CE58F0" w:rsidP="00CE58F0">
      <w:pPr>
        <w:pStyle w:val="BodyTextIndent2"/>
        <w:tabs>
          <w:tab w:val="left" w:pos="709"/>
        </w:tabs>
        <w:spacing w:after="0"/>
        <w:ind w:left="567"/>
        <w:rPr>
          <w:szCs w:val="24"/>
        </w:rPr>
      </w:pPr>
      <w:r w:rsidRPr="00D37FEA">
        <w:rPr>
          <w:szCs w:val="24"/>
        </w:rPr>
        <w:t xml:space="preserve"> However, because balances cannot be determined with certainty, actual results could be materially different from the assumptions and estimates.</w:t>
      </w:r>
    </w:p>
    <w:p w:rsidR="00CE58F0" w:rsidRDefault="00CE58F0" w:rsidP="00CE58F0">
      <w:pPr>
        <w:pStyle w:val="BodyTextIndent2"/>
        <w:tabs>
          <w:tab w:val="left" w:pos="709"/>
        </w:tabs>
        <w:spacing w:after="0"/>
        <w:ind w:left="567"/>
        <w:rPr>
          <w:szCs w:val="24"/>
        </w:rPr>
      </w:pPr>
    </w:p>
    <w:p w:rsidR="00CE58F0" w:rsidRDefault="00CE58F0" w:rsidP="00CE58F0">
      <w:pPr>
        <w:pStyle w:val="BodyTextIndent2"/>
        <w:tabs>
          <w:tab w:val="left" w:pos="851"/>
        </w:tabs>
        <w:spacing w:after="0"/>
        <w:ind w:left="567"/>
        <w:rPr>
          <w:szCs w:val="24"/>
        </w:rPr>
      </w:pPr>
      <w:r>
        <w:rPr>
          <w:szCs w:val="24"/>
        </w:rPr>
        <w:t>T</w:t>
      </w:r>
      <w:r w:rsidRPr="00D37FEA">
        <w:rPr>
          <w:szCs w:val="24"/>
        </w:rPr>
        <w:t>he items in the Pension Fund's net asset statement at 31 March 201</w:t>
      </w:r>
      <w:r>
        <w:rPr>
          <w:szCs w:val="24"/>
        </w:rPr>
        <w:t>4</w:t>
      </w:r>
      <w:r w:rsidRPr="00D37FEA">
        <w:rPr>
          <w:szCs w:val="24"/>
        </w:rPr>
        <w:t xml:space="preserve"> for which there is a significant risk of material adjustment in the forthcoming year are as follows:</w:t>
      </w:r>
    </w:p>
    <w:p w:rsidR="00CE58F0" w:rsidRDefault="00CE58F0" w:rsidP="00CE58F0"/>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4048"/>
        <w:gridCol w:w="3973"/>
      </w:tblGrid>
      <w:tr w:rsidR="00CE58F0" w:rsidTr="00413B8D">
        <w:tc>
          <w:tcPr>
            <w:tcW w:w="1662" w:type="dxa"/>
          </w:tcPr>
          <w:p w:rsidR="00CE58F0" w:rsidRPr="00834B94" w:rsidRDefault="00CE58F0" w:rsidP="00413B8D">
            <w:pPr>
              <w:rPr>
                <w:szCs w:val="22"/>
              </w:rPr>
            </w:pPr>
            <w:r w:rsidRPr="00834B94">
              <w:rPr>
                <w:sz w:val="22"/>
                <w:szCs w:val="22"/>
              </w:rPr>
              <w:t>Item</w:t>
            </w:r>
          </w:p>
        </w:tc>
        <w:tc>
          <w:tcPr>
            <w:tcW w:w="0" w:type="auto"/>
          </w:tcPr>
          <w:p w:rsidR="00CE58F0" w:rsidRPr="00834B94" w:rsidRDefault="00CE58F0" w:rsidP="00413B8D">
            <w:pPr>
              <w:rPr>
                <w:szCs w:val="22"/>
              </w:rPr>
            </w:pPr>
            <w:r w:rsidRPr="00834B94">
              <w:rPr>
                <w:sz w:val="22"/>
                <w:szCs w:val="22"/>
              </w:rPr>
              <w:t>Uncertainties</w:t>
            </w:r>
          </w:p>
        </w:tc>
        <w:tc>
          <w:tcPr>
            <w:tcW w:w="0" w:type="auto"/>
          </w:tcPr>
          <w:p w:rsidR="00CE58F0" w:rsidRPr="00834B94" w:rsidRDefault="00CE58F0" w:rsidP="00413B8D">
            <w:pPr>
              <w:rPr>
                <w:szCs w:val="22"/>
              </w:rPr>
            </w:pPr>
            <w:r w:rsidRPr="00834B94">
              <w:rPr>
                <w:sz w:val="22"/>
                <w:szCs w:val="22"/>
              </w:rPr>
              <w:t>Impact if actual results differ from assumptions</w:t>
            </w:r>
          </w:p>
        </w:tc>
      </w:tr>
      <w:tr w:rsidR="00CE58F0" w:rsidTr="00413B8D">
        <w:trPr>
          <w:trHeight w:val="2088"/>
        </w:trPr>
        <w:tc>
          <w:tcPr>
            <w:tcW w:w="1662" w:type="dxa"/>
          </w:tcPr>
          <w:p w:rsidR="00CE58F0" w:rsidRDefault="00CE58F0" w:rsidP="00413B8D">
            <w:pPr>
              <w:rPr>
                <w:szCs w:val="22"/>
              </w:rPr>
            </w:pPr>
            <w:r w:rsidRPr="00834B94">
              <w:rPr>
                <w:sz w:val="22"/>
                <w:szCs w:val="22"/>
              </w:rPr>
              <w:t xml:space="preserve">Private </w:t>
            </w:r>
            <w:r>
              <w:rPr>
                <w:sz w:val="22"/>
                <w:szCs w:val="22"/>
              </w:rPr>
              <w:t>e</w:t>
            </w:r>
            <w:r w:rsidRPr="00834B94">
              <w:rPr>
                <w:sz w:val="22"/>
                <w:szCs w:val="22"/>
              </w:rPr>
              <w:t>quity</w:t>
            </w:r>
            <w:r>
              <w:rPr>
                <w:sz w:val="22"/>
                <w:szCs w:val="22"/>
              </w:rPr>
              <w:t xml:space="preserve"> and infrastructure investments. </w:t>
            </w:r>
          </w:p>
          <w:p w:rsidR="00CE58F0" w:rsidRPr="00834B94" w:rsidRDefault="00CE58F0" w:rsidP="00413B8D">
            <w:pPr>
              <w:rPr>
                <w:szCs w:val="22"/>
              </w:rPr>
            </w:pPr>
          </w:p>
        </w:tc>
        <w:tc>
          <w:tcPr>
            <w:tcW w:w="0" w:type="auto"/>
          </w:tcPr>
          <w:p w:rsidR="00CE58F0" w:rsidRDefault="00CE58F0" w:rsidP="00413B8D">
            <w:pPr>
              <w:rPr>
                <w:szCs w:val="22"/>
              </w:rPr>
            </w:pPr>
            <w:r w:rsidRPr="00AA045D">
              <w:rPr>
                <w:sz w:val="22"/>
                <w:szCs w:val="22"/>
              </w:rPr>
              <w:t xml:space="preserve">Private </w:t>
            </w:r>
            <w:r>
              <w:rPr>
                <w:sz w:val="22"/>
                <w:szCs w:val="22"/>
              </w:rPr>
              <w:t>e</w:t>
            </w:r>
            <w:r w:rsidRPr="00AA045D">
              <w:rPr>
                <w:sz w:val="22"/>
                <w:szCs w:val="22"/>
              </w:rPr>
              <w:t xml:space="preserve">quity and </w:t>
            </w:r>
            <w:r>
              <w:rPr>
                <w:sz w:val="22"/>
                <w:szCs w:val="22"/>
              </w:rPr>
              <w:t>i</w:t>
            </w:r>
            <w:r w:rsidRPr="00AA045D">
              <w:rPr>
                <w:sz w:val="22"/>
                <w:szCs w:val="22"/>
              </w:rPr>
              <w:t xml:space="preserve">nfrastructure investments are valued at fair value in accordance with British Private Equity and Venture Capital Association guidelines / International Private Equity and Venture Capital Valuation guidelines or equivalent. </w:t>
            </w:r>
          </w:p>
        </w:tc>
        <w:tc>
          <w:tcPr>
            <w:tcW w:w="0" w:type="auto"/>
          </w:tcPr>
          <w:p w:rsidR="00CE58F0" w:rsidRDefault="00CE58F0" w:rsidP="00413B8D">
            <w:pPr>
              <w:rPr>
                <w:szCs w:val="22"/>
              </w:rPr>
            </w:pPr>
            <w:r>
              <w:rPr>
                <w:sz w:val="22"/>
                <w:szCs w:val="22"/>
              </w:rPr>
              <w:t>The market value of p</w:t>
            </w:r>
            <w:r w:rsidRPr="009A36EC">
              <w:rPr>
                <w:sz w:val="22"/>
                <w:szCs w:val="22"/>
              </w:rPr>
              <w:t xml:space="preserve">rivate </w:t>
            </w:r>
            <w:r>
              <w:rPr>
                <w:sz w:val="22"/>
                <w:szCs w:val="22"/>
              </w:rPr>
              <w:t>e</w:t>
            </w:r>
            <w:r w:rsidRPr="009A36EC">
              <w:rPr>
                <w:sz w:val="22"/>
                <w:szCs w:val="22"/>
              </w:rPr>
              <w:t>quity</w:t>
            </w:r>
            <w:r>
              <w:rPr>
                <w:sz w:val="22"/>
                <w:szCs w:val="22"/>
              </w:rPr>
              <w:t xml:space="preserve"> and infrastructure investments in the financial statements totals £512.9m.</w:t>
            </w:r>
          </w:p>
          <w:p w:rsidR="00CE58F0" w:rsidRDefault="00CE58F0" w:rsidP="00413B8D">
            <w:pPr>
              <w:rPr>
                <w:szCs w:val="22"/>
              </w:rPr>
            </w:pPr>
          </w:p>
          <w:p w:rsidR="00CE58F0" w:rsidRDefault="00CE58F0" w:rsidP="00413B8D">
            <w:pPr>
              <w:rPr>
                <w:szCs w:val="22"/>
              </w:rPr>
            </w:pPr>
            <w:r>
              <w:rPr>
                <w:sz w:val="22"/>
                <w:szCs w:val="22"/>
              </w:rPr>
              <w:t>There is a risk that these investments might be under or overstated in the accounts.</w:t>
            </w:r>
          </w:p>
        </w:tc>
      </w:tr>
      <w:tr w:rsidR="00CE58F0" w:rsidTr="00413B8D">
        <w:trPr>
          <w:trHeight w:val="1431"/>
        </w:trPr>
        <w:tc>
          <w:tcPr>
            <w:tcW w:w="1662" w:type="dxa"/>
          </w:tcPr>
          <w:p w:rsidR="00CE58F0" w:rsidRPr="00D44AEB" w:rsidRDefault="00CE58F0" w:rsidP="00413B8D">
            <w:pPr>
              <w:rPr>
                <w:szCs w:val="22"/>
              </w:rPr>
            </w:pPr>
            <w:r w:rsidRPr="000C15C5">
              <w:rPr>
                <w:sz w:val="22"/>
                <w:szCs w:val="22"/>
              </w:rPr>
              <w:t xml:space="preserve">Local </w:t>
            </w:r>
            <w:r>
              <w:rPr>
                <w:sz w:val="22"/>
                <w:szCs w:val="22"/>
              </w:rPr>
              <w:t>a</w:t>
            </w:r>
            <w:r w:rsidRPr="000C15C5">
              <w:rPr>
                <w:sz w:val="22"/>
                <w:szCs w:val="22"/>
              </w:rPr>
              <w:t>uthority bond valuations.</w:t>
            </w:r>
          </w:p>
          <w:p w:rsidR="00CE58F0" w:rsidRDefault="00CE58F0" w:rsidP="00413B8D">
            <w:pPr>
              <w:rPr>
                <w:szCs w:val="22"/>
              </w:rPr>
            </w:pPr>
            <w:r w:rsidRPr="000C15C5">
              <w:rPr>
                <w:sz w:val="22"/>
                <w:szCs w:val="22"/>
              </w:rPr>
              <w:t xml:space="preserve"> </w:t>
            </w:r>
          </w:p>
        </w:tc>
        <w:tc>
          <w:tcPr>
            <w:tcW w:w="0" w:type="auto"/>
          </w:tcPr>
          <w:p w:rsidR="00CE58F0" w:rsidRDefault="00CE58F0" w:rsidP="00413B8D">
            <w:pPr>
              <w:rPr>
                <w:szCs w:val="22"/>
              </w:rPr>
            </w:pPr>
            <w:r w:rsidRPr="000C15C5">
              <w:rPr>
                <w:sz w:val="22"/>
                <w:szCs w:val="22"/>
              </w:rPr>
              <w:t xml:space="preserve">Local </w:t>
            </w:r>
            <w:r>
              <w:rPr>
                <w:sz w:val="22"/>
                <w:szCs w:val="22"/>
              </w:rPr>
              <w:t>a</w:t>
            </w:r>
            <w:r w:rsidRPr="000C15C5">
              <w:rPr>
                <w:sz w:val="22"/>
                <w:szCs w:val="22"/>
              </w:rPr>
              <w:t xml:space="preserve">uthority bonds are based on valuation techniques that require management judgements based on various factors.  </w:t>
            </w:r>
          </w:p>
        </w:tc>
        <w:tc>
          <w:tcPr>
            <w:tcW w:w="0" w:type="auto"/>
          </w:tcPr>
          <w:p w:rsidR="00CE58F0" w:rsidRDefault="00CE58F0" w:rsidP="00413B8D">
            <w:pPr>
              <w:rPr>
                <w:szCs w:val="22"/>
              </w:rPr>
            </w:pPr>
            <w:r>
              <w:rPr>
                <w:sz w:val="22"/>
                <w:szCs w:val="22"/>
              </w:rPr>
              <w:t>The market value of local authority bonds totals £17.4m in the financial statements and there is a risk that this may be under or overstated.</w:t>
            </w:r>
          </w:p>
        </w:tc>
      </w:tr>
      <w:tr w:rsidR="00CE58F0" w:rsidTr="00413B8D">
        <w:trPr>
          <w:trHeight w:val="2088"/>
        </w:trPr>
        <w:tc>
          <w:tcPr>
            <w:tcW w:w="1662" w:type="dxa"/>
          </w:tcPr>
          <w:p w:rsidR="00CE58F0" w:rsidRDefault="00CE58F0" w:rsidP="00413B8D">
            <w:pPr>
              <w:rPr>
                <w:szCs w:val="22"/>
                <w:highlight w:val="yellow"/>
              </w:rPr>
            </w:pPr>
            <w:r w:rsidRPr="000C15C5">
              <w:rPr>
                <w:sz w:val="22"/>
                <w:szCs w:val="22"/>
              </w:rPr>
              <w:t>Indirect overseas property valuations.</w:t>
            </w:r>
          </w:p>
        </w:tc>
        <w:tc>
          <w:tcPr>
            <w:tcW w:w="0" w:type="auto"/>
            <w:shd w:val="clear" w:color="auto" w:fill="auto"/>
          </w:tcPr>
          <w:p w:rsidR="00CE58F0" w:rsidRPr="00053D4B" w:rsidRDefault="00CE58F0" w:rsidP="00413B8D">
            <w:pPr>
              <w:rPr>
                <w:szCs w:val="22"/>
                <w:highlight w:val="yellow"/>
              </w:rPr>
            </w:pPr>
            <w:r w:rsidRPr="000C15C5">
              <w:rPr>
                <w:sz w:val="22"/>
                <w:szCs w:val="22"/>
              </w:rPr>
              <w:t>Overseas indirect properties are valued at the current open market value as defined by the RICS Appraisal and Valuation Standards. These investments are not publicly listed and as such there is a degree of estimation involved in the valuation.</w:t>
            </w:r>
          </w:p>
        </w:tc>
        <w:tc>
          <w:tcPr>
            <w:tcW w:w="0" w:type="auto"/>
          </w:tcPr>
          <w:p w:rsidR="00CE58F0" w:rsidRDefault="00CE58F0" w:rsidP="00413B8D">
            <w:pPr>
              <w:rPr>
                <w:szCs w:val="22"/>
              </w:rPr>
            </w:pPr>
            <w:r>
              <w:rPr>
                <w:sz w:val="22"/>
                <w:szCs w:val="22"/>
              </w:rPr>
              <w:t xml:space="preserve">Overseas indirect property </w:t>
            </w:r>
            <w:r w:rsidRPr="009A36EC">
              <w:rPr>
                <w:sz w:val="22"/>
                <w:szCs w:val="22"/>
              </w:rPr>
              <w:t xml:space="preserve">investments in the financial statements </w:t>
            </w:r>
            <w:r>
              <w:rPr>
                <w:sz w:val="22"/>
                <w:szCs w:val="22"/>
              </w:rPr>
              <w:t>total</w:t>
            </w:r>
            <w:r w:rsidRPr="009A36EC">
              <w:rPr>
                <w:sz w:val="22"/>
                <w:szCs w:val="22"/>
              </w:rPr>
              <w:t xml:space="preserve"> £</w:t>
            </w:r>
            <w:r>
              <w:rPr>
                <w:sz w:val="22"/>
                <w:szCs w:val="22"/>
              </w:rPr>
              <w:t>25.4m</w:t>
            </w:r>
            <w:r w:rsidRPr="009A36EC">
              <w:rPr>
                <w:sz w:val="22"/>
                <w:szCs w:val="22"/>
              </w:rPr>
              <w:t xml:space="preserve">.  </w:t>
            </w:r>
          </w:p>
          <w:p w:rsidR="00CE58F0" w:rsidRDefault="00CE58F0" w:rsidP="00413B8D">
            <w:pPr>
              <w:rPr>
                <w:szCs w:val="22"/>
              </w:rPr>
            </w:pPr>
          </w:p>
          <w:p w:rsidR="00CE58F0" w:rsidRDefault="00CE58F0" w:rsidP="00413B8D">
            <w:pPr>
              <w:rPr>
                <w:szCs w:val="22"/>
              </w:rPr>
            </w:pPr>
            <w:r w:rsidRPr="009A36EC">
              <w:rPr>
                <w:sz w:val="22"/>
                <w:szCs w:val="22"/>
              </w:rPr>
              <w:t>There is a risk that th</w:t>
            </w:r>
            <w:r>
              <w:rPr>
                <w:sz w:val="22"/>
                <w:szCs w:val="22"/>
              </w:rPr>
              <w:t>ese</w:t>
            </w:r>
            <w:r w:rsidRPr="009A36EC">
              <w:rPr>
                <w:sz w:val="22"/>
                <w:szCs w:val="22"/>
              </w:rPr>
              <w:t xml:space="preserve"> investment</w:t>
            </w:r>
            <w:r>
              <w:rPr>
                <w:sz w:val="22"/>
                <w:szCs w:val="22"/>
              </w:rPr>
              <w:t>s</w:t>
            </w:r>
            <w:r w:rsidRPr="009A36EC">
              <w:rPr>
                <w:sz w:val="22"/>
                <w:szCs w:val="22"/>
              </w:rPr>
              <w:t xml:space="preserve"> may be under or overstated in the accounts.</w:t>
            </w:r>
          </w:p>
        </w:tc>
      </w:tr>
      <w:tr w:rsidR="00CE58F0" w:rsidTr="00413B8D">
        <w:trPr>
          <w:trHeight w:val="3074"/>
        </w:trPr>
        <w:tc>
          <w:tcPr>
            <w:tcW w:w="1662" w:type="dxa"/>
          </w:tcPr>
          <w:p w:rsidR="00CE58F0" w:rsidRPr="00834B94" w:rsidRDefault="00CE58F0" w:rsidP="00413B8D">
            <w:pPr>
              <w:pStyle w:val="Default"/>
              <w:rPr>
                <w:sz w:val="22"/>
                <w:szCs w:val="22"/>
              </w:rPr>
            </w:pPr>
            <w:r w:rsidRPr="00834B94">
              <w:rPr>
                <w:sz w:val="22"/>
                <w:szCs w:val="22"/>
              </w:rPr>
              <w:lastRenderedPageBreak/>
              <w:t>Pensions Liability</w:t>
            </w:r>
          </w:p>
        </w:tc>
        <w:tc>
          <w:tcPr>
            <w:tcW w:w="0" w:type="auto"/>
          </w:tcPr>
          <w:tbl>
            <w:tblPr>
              <w:tblW w:w="0" w:type="auto"/>
              <w:tblBorders>
                <w:top w:val="nil"/>
                <w:left w:val="nil"/>
                <w:bottom w:val="nil"/>
                <w:right w:val="nil"/>
              </w:tblBorders>
              <w:tblLook w:val="0000" w:firstRow="0" w:lastRow="0" w:firstColumn="0" w:lastColumn="0" w:noHBand="0" w:noVBand="0"/>
            </w:tblPr>
            <w:tblGrid>
              <w:gridCol w:w="3832"/>
            </w:tblGrid>
            <w:tr w:rsidR="00CE58F0" w:rsidRPr="00834B94" w:rsidTr="00413B8D">
              <w:trPr>
                <w:trHeight w:val="3077"/>
              </w:trPr>
              <w:tc>
                <w:tcPr>
                  <w:tcW w:w="0" w:type="auto"/>
                </w:tcPr>
                <w:p w:rsidR="00CE58F0" w:rsidRPr="00834B94" w:rsidRDefault="00CE58F0" w:rsidP="00413B8D">
                  <w:pPr>
                    <w:pStyle w:val="Default"/>
                    <w:rPr>
                      <w:sz w:val="22"/>
                      <w:szCs w:val="22"/>
                    </w:rPr>
                  </w:pPr>
                  <w:r w:rsidRPr="00834B94">
                    <w:rPr>
                      <w:sz w:val="22"/>
                      <w:szCs w:val="22"/>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authority with expert advice about the assumptions to be applied.</w:t>
                  </w:r>
                </w:p>
              </w:tc>
            </w:tr>
          </w:tbl>
          <w:p w:rsidR="00CE58F0" w:rsidRPr="00834B94" w:rsidRDefault="00CE58F0" w:rsidP="00413B8D">
            <w:pPr>
              <w:jc w:val="center"/>
              <w:rPr>
                <w:szCs w:val="22"/>
              </w:rPr>
            </w:pPr>
          </w:p>
        </w:tc>
        <w:tc>
          <w:tcPr>
            <w:tcW w:w="0" w:type="auto"/>
          </w:tcPr>
          <w:p w:rsidR="00CE58F0" w:rsidRPr="006D40EB" w:rsidRDefault="00CE58F0" w:rsidP="00413B8D">
            <w:pPr>
              <w:pStyle w:val="Default"/>
              <w:rPr>
                <w:sz w:val="22"/>
                <w:szCs w:val="22"/>
              </w:rPr>
            </w:pPr>
            <w:r w:rsidRPr="006D40EB">
              <w:rPr>
                <w:sz w:val="22"/>
                <w:szCs w:val="22"/>
              </w:rPr>
              <w:t xml:space="preserve">The effects on the net pension liability of changes in individual assumptions can be measured. For instance, a 0.25% reduction in the discount rate assumption would increase the value of the liabilities by approximately </w:t>
            </w:r>
            <w:r w:rsidRPr="006D40EB">
              <w:rPr>
                <w:color w:val="auto"/>
                <w:sz w:val="22"/>
                <w:szCs w:val="22"/>
              </w:rPr>
              <w:t>£300 million.</w:t>
            </w:r>
            <w:r w:rsidRPr="006D40EB">
              <w:rPr>
                <w:sz w:val="22"/>
                <w:szCs w:val="22"/>
              </w:rPr>
              <w:t xml:space="preserve">  A 0.5% increase in assumed earnings inflation would increase the value of the liabilities by approximately £128m and a 1 year increase in assumed life expectancy would increase the liabilities by approximately £139m.</w:t>
            </w:r>
          </w:p>
        </w:tc>
      </w:tr>
    </w:tbl>
    <w:p w:rsidR="00CE58F0" w:rsidRDefault="00CE58F0" w:rsidP="00CE58F0">
      <w:pPr>
        <w:rPr>
          <w:szCs w:val="24"/>
        </w:rPr>
      </w:pPr>
    </w:p>
    <w:p w:rsidR="00CE58F0" w:rsidRDefault="00CE58F0" w:rsidP="00CE58F0">
      <w:pPr>
        <w:rPr>
          <w:szCs w:val="24"/>
        </w:rPr>
      </w:pPr>
    </w:p>
    <w:p w:rsidR="00CE58F0" w:rsidRPr="001517EF" w:rsidRDefault="00CE58F0" w:rsidP="00CE58F0">
      <w:pPr>
        <w:numPr>
          <w:ilvl w:val="0"/>
          <w:numId w:val="2"/>
        </w:numPr>
        <w:tabs>
          <w:tab w:val="clear" w:pos="720"/>
          <w:tab w:val="num" w:pos="862"/>
        </w:tabs>
        <w:ind w:left="862"/>
        <w:rPr>
          <w:b/>
          <w:szCs w:val="24"/>
        </w:rPr>
      </w:pPr>
      <w:r w:rsidRPr="001517EF">
        <w:rPr>
          <w:b/>
          <w:szCs w:val="24"/>
        </w:rPr>
        <w:t>Contributions receivable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Tr="00413B8D">
        <w:tc>
          <w:tcPr>
            <w:tcW w:w="5058" w:type="dxa"/>
          </w:tcPr>
          <w:p w:rsidR="00CE58F0" w:rsidRDefault="00CE58F0" w:rsidP="00413B8D">
            <w:pPr>
              <w:rPr>
                <w:b/>
                <w:szCs w:val="24"/>
              </w:rPr>
            </w:pPr>
            <w:r>
              <w:rPr>
                <w:b/>
                <w:szCs w:val="24"/>
              </w:rPr>
              <w:t>Employers' contributions</w:t>
            </w:r>
          </w:p>
        </w:tc>
        <w:tc>
          <w:tcPr>
            <w:tcW w:w="1559" w:type="dxa"/>
          </w:tcPr>
          <w:p w:rsidR="00CE58F0" w:rsidRPr="009643EB" w:rsidRDefault="00CE58F0" w:rsidP="00413B8D">
            <w:pPr>
              <w:jc w:val="right"/>
              <w:rPr>
                <w:szCs w:val="24"/>
              </w:rPr>
            </w:pPr>
          </w:p>
        </w:tc>
        <w:tc>
          <w:tcPr>
            <w:tcW w:w="430" w:type="dxa"/>
            <w:tcBorders>
              <w:right w:val="single" w:sz="4" w:space="0" w:color="FFFFFF" w:themeColor="background1"/>
            </w:tcBorders>
          </w:tcPr>
          <w:p w:rsidR="00CE58F0" w:rsidRPr="009643EB" w:rsidRDefault="00CE58F0" w:rsidP="00413B8D">
            <w:pPr>
              <w:jc w:val="right"/>
              <w:rPr>
                <w:szCs w:val="24"/>
              </w:rPr>
            </w:pPr>
          </w:p>
        </w:tc>
        <w:tc>
          <w:tcPr>
            <w:tcW w:w="1696" w:type="dxa"/>
            <w:tcBorders>
              <w:left w:val="single" w:sz="4" w:space="0" w:color="FFFFFF" w:themeColor="background1"/>
            </w:tcBorders>
          </w:tcPr>
          <w:p w:rsidR="00CE58F0" w:rsidRPr="009643EB" w:rsidRDefault="00CE58F0" w:rsidP="00413B8D">
            <w:pPr>
              <w:jc w:val="right"/>
              <w:rPr>
                <w:szCs w:val="24"/>
              </w:rPr>
            </w:pPr>
          </w:p>
        </w:tc>
      </w:tr>
      <w:tr w:rsidR="00CE58F0" w:rsidTr="00413B8D">
        <w:tc>
          <w:tcPr>
            <w:tcW w:w="5058" w:type="dxa"/>
          </w:tcPr>
          <w:p w:rsidR="00CE58F0" w:rsidRPr="009643EB" w:rsidRDefault="00CE58F0" w:rsidP="00413B8D">
            <w:pPr>
              <w:rPr>
                <w:szCs w:val="24"/>
              </w:rPr>
            </w:pPr>
            <w:r>
              <w:rPr>
                <w:szCs w:val="24"/>
              </w:rPr>
              <w:t>County Council</w:t>
            </w:r>
          </w:p>
        </w:tc>
        <w:tc>
          <w:tcPr>
            <w:tcW w:w="1559" w:type="dxa"/>
          </w:tcPr>
          <w:p w:rsidR="00CE58F0" w:rsidRPr="009643EB" w:rsidRDefault="00CE58F0" w:rsidP="00413B8D">
            <w:pPr>
              <w:jc w:val="right"/>
              <w:rPr>
                <w:szCs w:val="24"/>
              </w:rPr>
            </w:pPr>
            <w:r>
              <w:rPr>
                <w:szCs w:val="24"/>
              </w:rPr>
              <w:t>67.5</w:t>
            </w:r>
          </w:p>
        </w:tc>
        <w:tc>
          <w:tcPr>
            <w:tcW w:w="430" w:type="dxa"/>
            <w:tcBorders>
              <w:right w:val="single" w:sz="4" w:space="0" w:color="FFFFFF" w:themeColor="background1"/>
            </w:tcBorders>
          </w:tcPr>
          <w:p w:rsidR="00CE58F0" w:rsidRPr="009643EB" w:rsidRDefault="00CE58F0" w:rsidP="00413B8D">
            <w:pPr>
              <w:jc w:val="right"/>
              <w:rPr>
                <w:szCs w:val="24"/>
              </w:rPr>
            </w:pPr>
          </w:p>
        </w:tc>
        <w:tc>
          <w:tcPr>
            <w:tcW w:w="1696" w:type="dxa"/>
            <w:tcBorders>
              <w:left w:val="single" w:sz="4" w:space="0" w:color="FFFFFF" w:themeColor="background1"/>
            </w:tcBorders>
          </w:tcPr>
          <w:p w:rsidR="00CE58F0" w:rsidRPr="009643EB" w:rsidRDefault="00CE58F0" w:rsidP="00413B8D">
            <w:pPr>
              <w:jc w:val="right"/>
              <w:rPr>
                <w:szCs w:val="24"/>
              </w:rPr>
            </w:pPr>
            <w:r>
              <w:rPr>
                <w:szCs w:val="24"/>
              </w:rPr>
              <w:t>61.3</w:t>
            </w:r>
          </w:p>
        </w:tc>
      </w:tr>
      <w:tr w:rsidR="00CE58F0" w:rsidTr="00413B8D">
        <w:tc>
          <w:tcPr>
            <w:tcW w:w="5058" w:type="dxa"/>
          </w:tcPr>
          <w:p w:rsidR="00CE58F0" w:rsidRDefault="00CE58F0" w:rsidP="00413B8D">
            <w:pPr>
              <w:rPr>
                <w:szCs w:val="24"/>
              </w:rPr>
            </w:pPr>
            <w:r>
              <w:rPr>
                <w:szCs w:val="24"/>
              </w:rPr>
              <w:t>Scheduled Bodies</w:t>
            </w:r>
          </w:p>
        </w:tc>
        <w:tc>
          <w:tcPr>
            <w:tcW w:w="1559" w:type="dxa"/>
          </w:tcPr>
          <w:p w:rsidR="00CE58F0" w:rsidRPr="009643EB" w:rsidRDefault="00CE58F0" w:rsidP="00413B8D">
            <w:pPr>
              <w:jc w:val="right"/>
              <w:rPr>
                <w:szCs w:val="24"/>
              </w:rPr>
            </w:pPr>
            <w:r>
              <w:rPr>
                <w:szCs w:val="24"/>
              </w:rPr>
              <w:t>74.0</w:t>
            </w:r>
          </w:p>
        </w:tc>
        <w:tc>
          <w:tcPr>
            <w:tcW w:w="430" w:type="dxa"/>
            <w:tcBorders>
              <w:right w:val="single" w:sz="4" w:space="0" w:color="FFFFFF" w:themeColor="background1"/>
            </w:tcBorders>
          </w:tcPr>
          <w:p w:rsidR="00CE58F0" w:rsidRPr="009643EB" w:rsidRDefault="00CE58F0" w:rsidP="00413B8D">
            <w:pPr>
              <w:jc w:val="right"/>
              <w:rPr>
                <w:szCs w:val="24"/>
              </w:rPr>
            </w:pPr>
          </w:p>
        </w:tc>
        <w:tc>
          <w:tcPr>
            <w:tcW w:w="1696" w:type="dxa"/>
            <w:tcBorders>
              <w:left w:val="single" w:sz="4" w:space="0" w:color="FFFFFF" w:themeColor="background1"/>
            </w:tcBorders>
          </w:tcPr>
          <w:p w:rsidR="00CE58F0" w:rsidRPr="009643EB" w:rsidRDefault="00CE58F0" w:rsidP="00413B8D">
            <w:pPr>
              <w:jc w:val="right"/>
              <w:rPr>
                <w:szCs w:val="24"/>
              </w:rPr>
            </w:pPr>
            <w:r>
              <w:rPr>
                <w:szCs w:val="24"/>
              </w:rPr>
              <w:t>71.2</w:t>
            </w:r>
          </w:p>
        </w:tc>
      </w:tr>
      <w:tr w:rsidR="00CE58F0" w:rsidTr="00413B8D">
        <w:tc>
          <w:tcPr>
            <w:tcW w:w="5058" w:type="dxa"/>
          </w:tcPr>
          <w:p w:rsidR="00CE58F0" w:rsidRDefault="00CE58F0" w:rsidP="00413B8D">
            <w:pPr>
              <w:rPr>
                <w:szCs w:val="24"/>
              </w:rPr>
            </w:pPr>
            <w:r>
              <w:rPr>
                <w:szCs w:val="24"/>
              </w:rPr>
              <w:t>Admitted Bodies</w:t>
            </w:r>
          </w:p>
        </w:tc>
        <w:tc>
          <w:tcPr>
            <w:tcW w:w="1559" w:type="dxa"/>
            <w:tcBorders>
              <w:bottom w:val="single" w:sz="12" w:space="0" w:color="auto"/>
            </w:tcBorders>
          </w:tcPr>
          <w:p w:rsidR="00CE58F0" w:rsidRPr="009643EB" w:rsidRDefault="00CE58F0" w:rsidP="00413B8D">
            <w:pPr>
              <w:jc w:val="right"/>
              <w:rPr>
                <w:szCs w:val="24"/>
              </w:rPr>
            </w:pPr>
            <w:r>
              <w:rPr>
                <w:szCs w:val="24"/>
              </w:rPr>
              <w:t>13.1</w:t>
            </w:r>
          </w:p>
        </w:tc>
        <w:tc>
          <w:tcPr>
            <w:tcW w:w="430" w:type="dxa"/>
            <w:tcBorders>
              <w:right w:val="single" w:sz="4" w:space="0" w:color="FFFFFF" w:themeColor="background1"/>
            </w:tcBorders>
          </w:tcPr>
          <w:p w:rsidR="00CE58F0" w:rsidRDefault="00CE58F0" w:rsidP="00413B8D">
            <w:pPr>
              <w:jc w:val="right"/>
              <w:rPr>
                <w:szCs w:val="24"/>
              </w:rPr>
            </w:pPr>
          </w:p>
        </w:tc>
        <w:tc>
          <w:tcPr>
            <w:tcW w:w="1696" w:type="dxa"/>
            <w:tcBorders>
              <w:left w:val="single" w:sz="4" w:space="0" w:color="FFFFFF" w:themeColor="background1"/>
              <w:bottom w:val="single" w:sz="12" w:space="0" w:color="auto"/>
            </w:tcBorders>
          </w:tcPr>
          <w:p w:rsidR="00CE58F0" w:rsidRDefault="00CE58F0" w:rsidP="00413B8D">
            <w:pPr>
              <w:jc w:val="right"/>
              <w:rPr>
                <w:szCs w:val="24"/>
              </w:rPr>
            </w:pPr>
            <w:r>
              <w:rPr>
                <w:szCs w:val="24"/>
              </w:rPr>
              <w:t>12.6</w:t>
            </w:r>
          </w:p>
        </w:tc>
      </w:tr>
      <w:tr w:rsidR="00CE58F0" w:rsidTr="00413B8D">
        <w:tc>
          <w:tcPr>
            <w:tcW w:w="5058" w:type="dxa"/>
          </w:tcPr>
          <w:p w:rsidR="00CE58F0" w:rsidRDefault="00CE58F0" w:rsidP="00413B8D">
            <w:pPr>
              <w:rPr>
                <w:szCs w:val="24"/>
              </w:rPr>
            </w:pPr>
          </w:p>
        </w:tc>
        <w:tc>
          <w:tcPr>
            <w:tcW w:w="1559" w:type="dxa"/>
            <w:tcBorders>
              <w:top w:val="single" w:sz="12" w:space="0" w:color="auto"/>
              <w:bottom w:val="single" w:sz="12" w:space="0" w:color="auto"/>
            </w:tcBorders>
          </w:tcPr>
          <w:p w:rsidR="00CE58F0" w:rsidRPr="009643EB" w:rsidRDefault="00CE58F0" w:rsidP="00413B8D">
            <w:pPr>
              <w:jc w:val="right"/>
              <w:rPr>
                <w:szCs w:val="24"/>
              </w:rPr>
            </w:pPr>
            <w:r>
              <w:rPr>
                <w:szCs w:val="24"/>
              </w:rPr>
              <w:t>154.6</w:t>
            </w:r>
          </w:p>
        </w:tc>
        <w:tc>
          <w:tcPr>
            <w:tcW w:w="430" w:type="dxa"/>
          </w:tcPr>
          <w:p w:rsidR="00CE58F0" w:rsidRDefault="00CE58F0" w:rsidP="00413B8D">
            <w:pPr>
              <w:jc w:val="right"/>
              <w:rPr>
                <w:szCs w:val="24"/>
              </w:rPr>
            </w:pPr>
          </w:p>
        </w:tc>
        <w:tc>
          <w:tcPr>
            <w:tcW w:w="1696" w:type="dxa"/>
            <w:tcBorders>
              <w:top w:val="single" w:sz="12" w:space="0" w:color="auto"/>
              <w:bottom w:val="single" w:sz="12" w:space="0" w:color="auto"/>
            </w:tcBorders>
          </w:tcPr>
          <w:p w:rsidR="00CE58F0" w:rsidRDefault="00CE58F0" w:rsidP="00413B8D">
            <w:pPr>
              <w:jc w:val="right"/>
              <w:rPr>
                <w:szCs w:val="24"/>
              </w:rPr>
            </w:pPr>
            <w:r>
              <w:rPr>
                <w:szCs w:val="24"/>
              </w:rPr>
              <w:t>145.1</w:t>
            </w:r>
          </w:p>
        </w:tc>
      </w:tr>
      <w:tr w:rsidR="00CE58F0" w:rsidTr="00B42257">
        <w:trPr>
          <w:gridBefore w:val="1"/>
          <w:wBefore w:w="5058" w:type="dxa"/>
        </w:trPr>
        <w:tc>
          <w:tcPr>
            <w:tcW w:w="1559" w:type="dxa"/>
            <w:tcBorders>
              <w:top w:val="single" w:sz="12" w:space="0" w:color="auto"/>
            </w:tcBorders>
          </w:tcPr>
          <w:p w:rsidR="00CE58F0" w:rsidRDefault="00CE58F0" w:rsidP="00413B8D">
            <w:pPr>
              <w:jc w:val="right"/>
              <w:rPr>
                <w:szCs w:val="24"/>
              </w:rPr>
            </w:pPr>
          </w:p>
        </w:tc>
        <w:tc>
          <w:tcPr>
            <w:tcW w:w="430" w:type="dxa"/>
          </w:tcPr>
          <w:p w:rsidR="00CE58F0" w:rsidRDefault="00CE58F0" w:rsidP="00413B8D">
            <w:pPr>
              <w:jc w:val="right"/>
              <w:rPr>
                <w:szCs w:val="24"/>
              </w:rPr>
            </w:pPr>
          </w:p>
        </w:tc>
        <w:tc>
          <w:tcPr>
            <w:tcW w:w="1696" w:type="dxa"/>
            <w:tcBorders>
              <w:top w:val="single" w:sz="12" w:space="0" w:color="auto"/>
            </w:tcBorders>
          </w:tcPr>
          <w:p w:rsidR="00CE58F0" w:rsidRDefault="00CE58F0" w:rsidP="00413B8D">
            <w:pPr>
              <w:jc w:val="right"/>
              <w:rPr>
                <w:szCs w:val="24"/>
              </w:rPr>
            </w:pPr>
          </w:p>
        </w:tc>
      </w:tr>
      <w:tr w:rsidR="00B42257" w:rsidTr="00B42257">
        <w:trPr>
          <w:gridBefore w:val="1"/>
          <w:wBefore w:w="5058" w:type="dxa"/>
        </w:trPr>
        <w:tc>
          <w:tcPr>
            <w:tcW w:w="1559" w:type="dxa"/>
          </w:tcPr>
          <w:p w:rsidR="00B42257" w:rsidRDefault="00B42257" w:rsidP="00413B8D">
            <w:pPr>
              <w:jc w:val="right"/>
              <w:rPr>
                <w:szCs w:val="24"/>
              </w:rPr>
            </w:pPr>
          </w:p>
        </w:tc>
        <w:tc>
          <w:tcPr>
            <w:tcW w:w="430" w:type="dxa"/>
          </w:tcPr>
          <w:p w:rsidR="00B42257" w:rsidRDefault="00B42257" w:rsidP="00413B8D">
            <w:pPr>
              <w:jc w:val="right"/>
              <w:rPr>
                <w:szCs w:val="24"/>
              </w:rPr>
            </w:pPr>
          </w:p>
        </w:tc>
        <w:tc>
          <w:tcPr>
            <w:tcW w:w="1696" w:type="dxa"/>
          </w:tcPr>
          <w:p w:rsidR="00B42257" w:rsidRDefault="00B42257" w:rsidP="00413B8D">
            <w:pPr>
              <w:jc w:val="right"/>
              <w:rPr>
                <w:szCs w:val="24"/>
              </w:rPr>
            </w:pPr>
          </w:p>
        </w:tc>
      </w:tr>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Pr>
          <w:p w:rsidR="00CE58F0" w:rsidRDefault="00CE58F0" w:rsidP="00413B8D">
            <w:pPr>
              <w:jc w:val="right"/>
              <w:rPr>
                <w:b/>
                <w:szCs w:val="24"/>
              </w:rPr>
            </w:pPr>
          </w:p>
          <w:p w:rsidR="00CE58F0" w:rsidRDefault="00CE58F0" w:rsidP="00413B8D">
            <w:pPr>
              <w:jc w:val="right"/>
              <w:rPr>
                <w:b/>
                <w:szCs w:val="24"/>
              </w:rPr>
            </w:pPr>
          </w:p>
        </w:tc>
        <w:tc>
          <w:tcPr>
            <w:tcW w:w="1696" w:type="dxa"/>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Tr="00413B8D">
        <w:tc>
          <w:tcPr>
            <w:tcW w:w="5058" w:type="dxa"/>
          </w:tcPr>
          <w:p w:rsidR="00CE58F0" w:rsidRDefault="00CE58F0" w:rsidP="00413B8D">
            <w:pPr>
              <w:rPr>
                <w:b/>
                <w:szCs w:val="24"/>
              </w:rPr>
            </w:pPr>
            <w:r>
              <w:rPr>
                <w:b/>
                <w:szCs w:val="24"/>
              </w:rPr>
              <w:t>Pension Strain</w:t>
            </w:r>
          </w:p>
        </w:tc>
        <w:tc>
          <w:tcPr>
            <w:tcW w:w="1559" w:type="dxa"/>
          </w:tcPr>
          <w:p w:rsidR="00CE58F0" w:rsidRPr="009643EB" w:rsidRDefault="00CE58F0" w:rsidP="00413B8D">
            <w:pPr>
              <w:jc w:val="right"/>
              <w:rPr>
                <w:szCs w:val="24"/>
              </w:rPr>
            </w:pPr>
          </w:p>
        </w:tc>
        <w:tc>
          <w:tcPr>
            <w:tcW w:w="430" w:type="dxa"/>
          </w:tcPr>
          <w:p w:rsidR="00CE58F0" w:rsidRPr="009643EB" w:rsidRDefault="00CE58F0" w:rsidP="00413B8D">
            <w:pPr>
              <w:jc w:val="right"/>
              <w:rPr>
                <w:szCs w:val="24"/>
              </w:rPr>
            </w:pPr>
          </w:p>
        </w:tc>
        <w:tc>
          <w:tcPr>
            <w:tcW w:w="1696" w:type="dxa"/>
          </w:tcPr>
          <w:p w:rsidR="00CE58F0" w:rsidRPr="009643EB" w:rsidRDefault="00CE58F0" w:rsidP="00413B8D">
            <w:pPr>
              <w:jc w:val="right"/>
              <w:rPr>
                <w:szCs w:val="24"/>
              </w:rPr>
            </w:pPr>
          </w:p>
        </w:tc>
      </w:tr>
      <w:tr w:rsidR="00CE58F0" w:rsidTr="00413B8D">
        <w:tc>
          <w:tcPr>
            <w:tcW w:w="5058" w:type="dxa"/>
          </w:tcPr>
          <w:p w:rsidR="00CE58F0" w:rsidRPr="009643EB" w:rsidRDefault="00CE58F0" w:rsidP="00413B8D">
            <w:pPr>
              <w:rPr>
                <w:szCs w:val="24"/>
              </w:rPr>
            </w:pPr>
            <w:r>
              <w:rPr>
                <w:szCs w:val="24"/>
              </w:rPr>
              <w:t>County Council</w:t>
            </w:r>
          </w:p>
        </w:tc>
        <w:tc>
          <w:tcPr>
            <w:tcW w:w="1559" w:type="dxa"/>
          </w:tcPr>
          <w:p w:rsidR="00CE58F0" w:rsidRPr="009643EB" w:rsidRDefault="00CE58F0" w:rsidP="00413B8D">
            <w:pPr>
              <w:jc w:val="right"/>
              <w:rPr>
                <w:szCs w:val="24"/>
              </w:rPr>
            </w:pPr>
            <w:r>
              <w:rPr>
                <w:szCs w:val="24"/>
              </w:rPr>
              <w:t>1.6</w:t>
            </w:r>
          </w:p>
        </w:tc>
        <w:tc>
          <w:tcPr>
            <w:tcW w:w="430" w:type="dxa"/>
          </w:tcPr>
          <w:p w:rsidR="00CE58F0" w:rsidRPr="009643EB" w:rsidRDefault="00CE58F0" w:rsidP="00413B8D">
            <w:pPr>
              <w:jc w:val="right"/>
              <w:rPr>
                <w:szCs w:val="24"/>
              </w:rPr>
            </w:pPr>
          </w:p>
        </w:tc>
        <w:tc>
          <w:tcPr>
            <w:tcW w:w="1696" w:type="dxa"/>
          </w:tcPr>
          <w:p w:rsidR="00CE58F0" w:rsidRPr="009643EB" w:rsidRDefault="00CE58F0" w:rsidP="00413B8D">
            <w:pPr>
              <w:jc w:val="right"/>
              <w:rPr>
                <w:szCs w:val="24"/>
              </w:rPr>
            </w:pPr>
            <w:r>
              <w:rPr>
                <w:szCs w:val="24"/>
              </w:rPr>
              <w:t>2.1</w:t>
            </w:r>
          </w:p>
        </w:tc>
      </w:tr>
      <w:tr w:rsidR="00CE58F0" w:rsidTr="00413B8D">
        <w:tc>
          <w:tcPr>
            <w:tcW w:w="5058" w:type="dxa"/>
          </w:tcPr>
          <w:p w:rsidR="00CE58F0" w:rsidRDefault="00CE58F0" w:rsidP="00413B8D">
            <w:pPr>
              <w:rPr>
                <w:szCs w:val="24"/>
              </w:rPr>
            </w:pPr>
            <w:r>
              <w:rPr>
                <w:szCs w:val="24"/>
              </w:rPr>
              <w:t>Scheduled Bodies</w:t>
            </w:r>
          </w:p>
        </w:tc>
        <w:tc>
          <w:tcPr>
            <w:tcW w:w="1559" w:type="dxa"/>
          </w:tcPr>
          <w:p w:rsidR="00CE58F0" w:rsidRPr="009643EB" w:rsidRDefault="00CE58F0" w:rsidP="00413B8D">
            <w:pPr>
              <w:jc w:val="right"/>
              <w:rPr>
                <w:szCs w:val="24"/>
              </w:rPr>
            </w:pPr>
            <w:r>
              <w:rPr>
                <w:szCs w:val="24"/>
              </w:rPr>
              <w:t>3.6</w:t>
            </w:r>
          </w:p>
        </w:tc>
        <w:tc>
          <w:tcPr>
            <w:tcW w:w="430" w:type="dxa"/>
          </w:tcPr>
          <w:p w:rsidR="00CE58F0" w:rsidRPr="009643EB" w:rsidRDefault="00CE58F0" w:rsidP="00413B8D">
            <w:pPr>
              <w:jc w:val="right"/>
              <w:rPr>
                <w:szCs w:val="24"/>
              </w:rPr>
            </w:pPr>
          </w:p>
        </w:tc>
        <w:tc>
          <w:tcPr>
            <w:tcW w:w="1696" w:type="dxa"/>
          </w:tcPr>
          <w:p w:rsidR="00CE58F0" w:rsidRPr="009643EB" w:rsidRDefault="00CE58F0" w:rsidP="00413B8D">
            <w:pPr>
              <w:jc w:val="right"/>
              <w:rPr>
                <w:szCs w:val="24"/>
              </w:rPr>
            </w:pPr>
            <w:r>
              <w:rPr>
                <w:szCs w:val="24"/>
              </w:rPr>
              <w:t>3.5</w:t>
            </w:r>
          </w:p>
        </w:tc>
      </w:tr>
      <w:tr w:rsidR="00CE58F0" w:rsidTr="00413B8D">
        <w:tc>
          <w:tcPr>
            <w:tcW w:w="5058" w:type="dxa"/>
          </w:tcPr>
          <w:p w:rsidR="00CE58F0" w:rsidRDefault="00CE58F0" w:rsidP="00413B8D">
            <w:pPr>
              <w:rPr>
                <w:szCs w:val="24"/>
              </w:rPr>
            </w:pPr>
            <w:r>
              <w:rPr>
                <w:szCs w:val="24"/>
              </w:rPr>
              <w:t>Admitted Bodies</w:t>
            </w:r>
          </w:p>
        </w:tc>
        <w:tc>
          <w:tcPr>
            <w:tcW w:w="1559" w:type="dxa"/>
            <w:tcBorders>
              <w:bottom w:val="single" w:sz="12" w:space="0" w:color="auto"/>
            </w:tcBorders>
          </w:tcPr>
          <w:p w:rsidR="00CE58F0" w:rsidRPr="009643EB" w:rsidRDefault="00CE58F0" w:rsidP="00413B8D">
            <w:pPr>
              <w:jc w:val="right"/>
              <w:rPr>
                <w:szCs w:val="24"/>
              </w:rPr>
            </w:pPr>
            <w:r>
              <w:rPr>
                <w:szCs w:val="24"/>
              </w:rPr>
              <w:t>0.2</w:t>
            </w:r>
          </w:p>
        </w:tc>
        <w:tc>
          <w:tcPr>
            <w:tcW w:w="430" w:type="dxa"/>
          </w:tcPr>
          <w:p w:rsidR="00CE58F0" w:rsidRDefault="00CE58F0" w:rsidP="00413B8D">
            <w:pPr>
              <w:jc w:val="right"/>
              <w:rPr>
                <w:szCs w:val="24"/>
              </w:rPr>
            </w:pPr>
          </w:p>
        </w:tc>
        <w:tc>
          <w:tcPr>
            <w:tcW w:w="1696" w:type="dxa"/>
            <w:tcBorders>
              <w:bottom w:val="single" w:sz="12" w:space="0" w:color="auto"/>
            </w:tcBorders>
          </w:tcPr>
          <w:p w:rsidR="00CE58F0" w:rsidRDefault="00CE58F0" w:rsidP="00413B8D">
            <w:pPr>
              <w:jc w:val="right"/>
              <w:rPr>
                <w:szCs w:val="24"/>
              </w:rPr>
            </w:pPr>
            <w:r>
              <w:rPr>
                <w:szCs w:val="24"/>
              </w:rPr>
              <w:t>0.3</w:t>
            </w:r>
          </w:p>
        </w:tc>
      </w:tr>
      <w:tr w:rsidR="00CE58F0" w:rsidTr="00413B8D">
        <w:tc>
          <w:tcPr>
            <w:tcW w:w="5058" w:type="dxa"/>
          </w:tcPr>
          <w:p w:rsidR="00CE58F0" w:rsidRDefault="00CE58F0" w:rsidP="00413B8D">
            <w:pPr>
              <w:rPr>
                <w:szCs w:val="24"/>
              </w:rPr>
            </w:pPr>
          </w:p>
        </w:tc>
        <w:tc>
          <w:tcPr>
            <w:tcW w:w="1559" w:type="dxa"/>
            <w:tcBorders>
              <w:bottom w:val="single" w:sz="12" w:space="0" w:color="auto"/>
            </w:tcBorders>
          </w:tcPr>
          <w:p w:rsidR="00CE58F0" w:rsidRDefault="00CE58F0" w:rsidP="00413B8D">
            <w:pPr>
              <w:jc w:val="right"/>
              <w:rPr>
                <w:szCs w:val="24"/>
              </w:rPr>
            </w:pPr>
            <w:r>
              <w:rPr>
                <w:szCs w:val="24"/>
              </w:rPr>
              <w:t>5.4</w:t>
            </w:r>
          </w:p>
        </w:tc>
        <w:tc>
          <w:tcPr>
            <w:tcW w:w="430" w:type="dxa"/>
          </w:tcPr>
          <w:p w:rsidR="00CE58F0" w:rsidRDefault="00CE58F0" w:rsidP="00413B8D">
            <w:pPr>
              <w:jc w:val="right"/>
              <w:rPr>
                <w:szCs w:val="24"/>
              </w:rPr>
            </w:pPr>
          </w:p>
        </w:tc>
        <w:tc>
          <w:tcPr>
            <w:tcW w:w="1696" w:type="dxa"/>
            <w:tcBorders>
              <w:bottom w:val="single" w:sz="12" w:space="0" w:color="auto"/>
            </w:tcBorders>
          </w:tcPr>
          <w:p w:rsidR="00CE58F0" w:rsidRDefault="00CE58F0" w:rsidP="00413B8D">
            <w:pPr>
              <w:jc w:val="right"/>
              <w:rPr>
                <w:szCs w:val="24"/>
              </w:rPr>
            </w:pPr>
            <w:r>
              <w:rPr>
                <w:szCs w:val="24"/>
              </w:rPr>
              <w:t>5.9</w:t>
            </w:r>
          </w:p>
        </w:tc>
      </w:tr>
      <w:tr w:rsidR="00CE58F0" w:rsidTr="00413B8D">
        <w:tc>
          <w:tcPr>
            <w:tcW w:w="5058" w:type="dxa"/>
          </w:tcPr>
          <w:p w:rsidR="00CE58F0" w:rsidRDefault="00CE58F0" w:rsidP="00413B8D">
            <w:pPr>
              <w:rPr>
                <w:szCs w:val="24"/>
              </w:rPr>
            </w:pPr>
          </w:p>
        </w:tc>
        <w:tc>
          <w:tcPr>
            <w:tcW w:w="1559" w:type="dxa"/>
            <w:tcBorders>
              <w:top w:val="single" w:sz="12" w:space="0" w:color="auto"/>
              <w:bottom w:val="single" w:sz="12" w:space="0" w:color="auto"/>
            </w:tcBorders>
          </w:tcPr>
          <w:p w:rsidR="00CE58F0" w:rsidRPr="009643EB" w:rsidRDefault="00CE58F0" w:rsidP="00413B8D">
            <w:pPr>
              <w:jc w:val="right"/>
              <w:rPr>
                <w:szCs w:val="24"/>
              </w:rPr>
            </w:pPr>
            <w:r>
              <w:rPr>
                <w:szCs w:val="24"/>
              </w:rPr>
              <w:t>160.0</w:t>
            </w:r>
          </w:p>
        </w:tc>
        <w:tc>
          <w:tcPr>
            <w:tcW w:w="430" w:type="dxa"/>
          </w:tcPr>
          <w:p w:rsidR="00CE58F0" w:rsidRDefault="00CE58F0" w:rsidP="00413B8D">
            <w:pPr>
              <w:jc w:val="right"/>
              <w:rPr>
                <w:szCs w:val="24"/>
              </w:rPr>
            </w:pPr>
          </w:p>
        </w:tc>
        <w:tc>
          <w:tcPr>
            <w:tcW w:w="1696" w:type="dxa"/>
            <w:tcBorders>
              <w:top w:val="single" w:sz="12" w:space="0" w:color="auto"/>
              <w:bottom w:val="single" w:sz="12" w:space="0" w:color="auto"/>
            </w:tcBorders>
          </w:tcPr>
          <w:p w:rsidR="00CE58F0" w:rsidRDefault="00CE58F0" w:rsidP="00413B8D">
            <w:pPr>
              <w:jc w:val="right"/>
              <w:rPr>
                <w:szCs w:val="24"/>
              </w:rPr>
            </w:pPr>
            <w:r>
              <w:rPr>
                <w:szCs w:val="24"/>
              </w:rPr>
              <w:t>151.0</w:t>
            </w:r>
          </w:p>
        </w:tc>
      </w:tr>
      <w:tr w:rsidR="00CE58F0" w:rsidTr="00413B8D">
        <w:tc>
          <w:tcPr>
            <w:tcW w:w="5058" w:type="dxa"/>
          </w:tcPr>
          <w:p w:rsidR="00CE58F0" w:rsidRDefault="00CE58F0" w:rsidP="00413B8D">
            <w:pPr>
              <w:rPr>
                <w:szCs w:val="24"/>
              </w:rPr>
            </w:pPr>
          </w:p>
          <w:p w:rsidR="00CE58F0" w:rsidRPr="009F4749" w:rsidRDefault="00CE58F0" w:rsidP="00413B8D">
            <w:pPr>
              <w:rPr>
                <w:b/>
                <w:szCs w:val="24"/>
              </w:rPr>
            </w:pPr>
            <w:r w:rsidRPr="009F4749">
              <w:rPr>
                <w:b/>
                <w:szCs w:val="24"/>
              </w:rPr>
              <w:t>Employee contributions</w:t>
            </w:r>
          </w:p>
        </w:tc>
        <w:tc>
          <w:tcPr>
            <w:tcW w:w="1559" w:type="dxa"/>
            <w:tcBorders>
              <w:top w:val="single" w:sz="12" w:space="0" w:color="auto"/>
            </w:tcBorders>
          </w:tcPr>
          <w:p w:rsidR="00CE58F0" w:rsidRDefault="00CE58F0" w:rsidP="00413B8D">
            <w:pPr>
              <w:jc w:val="right"/>
              <w:rPr>
                <w:szCs w:val="24"/>
              </w:rPr>
            </w:pPr>
          </w:p>
        </w:tc>
        <w:tc>
          <w:tcPr>
            <w:tcW w:w="430" w:type="dxa"/>
          </w:tcPr>
          <w:p w:rsidR="00CE58F0" w:rsidRDefault="00CE58F0" w:rsidP="00413B8D">
            <w:pPr>
              <w:jc w:val="right"/>
              <w:rPr>
                <w:szCs w:val="24"/>
              </w:rPr>
            </w:pPr>
          </w:p>
        </w:tc>
        <w:tc>
          <w:tcPr>
            <w:tcW w:w="1696" w:type="dxa"/>
            <w:tcBorders>
              <w:top w:val="single" w:sz="12" w:space="0" w:color="auto"/>
            </w:tcBorders>
          </w:tcPr>
          <w:p w:rsidR="00CE58F0" w:rsidRDefault="00CE58F0" w:rsidP="00413B8D">
            <w:pPr>
              <w:jc w:val="right"/>
              <w:rPr>
                <w:szCs w:val="24"/>
              </w:rPr>
            </w:pPr>
          </w:p>
        </w:tc>
      </w:tr>
      <w:tr w:rsidR="00CE58F0" w:rsidTr="00413B8D">
        <w:tc>
          <w:tcPr>
            <w:tcW w:w="5058" w:type="dxa"/>
          </w:tcPr>
          <w:p w:rsidR="00CE58F0" w:rsidRDefault="00CE58F0" w:rsidP="00413B8D">
            <w:pPr>
              <w:rPr>
                <w:szCs w:val="24"/>
              </w:rPr>
            </w:pPr>
            <w:r>
              <w:rPr>
                <w:szCs w:val="24"/>
              </w:rPr>
              <w:t>County Council</w:t>
            </w:r>
          </w:p>
        </w:tc>
        <w:tc>
          <w:tcPr>
            <w:tcW w:w="1559" w:type="dxa"/>
          </w:tcPr>
          <w:p w:rsidR="00CE58F0" w:rsidRDefault="00CE58F0" w:rsidP="00413B8D">
            <w:pPr>
              <w:jc w:val="right"/>
              <w:rPr>
                <w:szCs w:val="24"/>
              </w:rPr>
            </w:pPr>
            <w:r>
              <w:rPr>
                <w:szCs w:val="24"/>
              </w:rPr>
              <w:t>22.2</w:t>
            </w:r>
          </w:p>
        </w:tc>
        <w:tc>
          <w:tcPr>
            <w:tcW w:w="430" w:type="dxa"/>
          </w:tcPr>
          <w:p w:rsidR="00CE58F0" w:rsidRDefault="00CE58F0" w:rsidP="00413B8D">
            <w:pPr>
              <w:jc w:val="right"/>
              <w:rPr>
                <w:szCs w:val="24"/>
              </w:rPr>
            </w:pPr>
          </w:p>
        </w:tc>
        <w:tc>
          <w:tcPr>
            <w:tcW w:w="1696" w:type="dxa"/>
          </w:tcPr>
          <w:p w:rsidR="00CE58F0" w:rsidRDefault="00CE58F0" w:rsidP="00413B8D">
            <w:pPr>
              <w:jc w:val="right"/>
              <w:rPr>
                <w:szCs w:val="24"/>
              </w:rPr>
            </w:pPr>
            <w:r>
              <w:rPr>
                <w:szCs w:val="24"/>
              </w:rPr>
              <w:t>20.6</w:t>
            </w:r>
          </w:p>
        </w:tc>
      </w:tr>
      <w:tr w:rsidR="00CE58F0" w:rsidTr="00413B8D">
        <w:tc>
          <w:tcPr>
            <w:tcW w:w="5058" w:type="dxa"/>
          </w:tcPr>
          <w:p w:rsidR="00CE58F0" w:rsidRDefault="00CE58F0" w:rsidP="00413B8D">
            <w:pPr>
              <w:rPr>
                <w:szCs w:val="24"/>
              </w:rPr>
            </w:pPr>
            <w:r>
              <w:rPr>
                <w:szCs w:val="24"/>
              </w:rPr>
              <w:t>Scheduled Bodies</w:t>
            </w:r>
          </w:p>
        </w:tc>
        <w:tc>
          <w:tcPr>
            <w:tcW w:w="1559" w:type="dxa"/>
          </w:tcPr>
          <w:p w:rsidR="00CE58F0" w:rsidRDefault="00CE58F0" w:rsidP="00413B8D">
            <w:pPr>
              <w:jc w:val="right"/>
              <w:rPr>
                <w:szCs w:val="24"/>
              </w:rPr>
            </w:pPr>
            <w:r>
              <w:rPr>
                <w:szCs w:val="24"/>
              </w:rPr>
              <w:t>26.8</w:t>
            </w:r>
          </w:p>
        </w:tc>
        <w:tc>
          <w:tcPr>
            <w:tcW w:w="430" w:type="dxa"/>
            <w:tcBorders>
              <w:right w:val="single" w:sz="4" w:space="0" w:color="FFFFFF" w:themeColor="background1"/>
            </w:tcBorders>
          </w:tcPr>
          <w:p w:rsidR="00CE58F0" w:rsidRDefault="00CE58F0" w:rsidP="00413B8D">
            <w:pPr>
              <w:jc w:val="right"/>
              <w:rPr>
                <w:szCs w:val="24"/>
              </w:rPr>
            </w:pPr>
          </w:p>
        </w:tc>
        <w:tc>
          <w:tcPr>
            <w:tcW w:w="1696" w:type="dxa"/>
            <w:tcBorders>
              <w:left w:val="single" w:sz="4" w:space="0" w:color="FFFFFF" w:themeColor="background1"/>
            </w:tcBorders>
          </w:tcPr>
          <w:p w:rsidR="00CE58F0" w:rsidRDefault="00CE58F0" w:rsidP="00413B8D">
            <w:pPr>
              <w:jc w:val="right"/>
              <w:rPr>
                <w:szCs w:val="24"/>
              </w:rPr>
            </w:pPr>
            <w:r>
              <w:rPr>
                <w:szCs w:val="24"/>
              </w:rPr>
              <w:t>26.3</w:t>
            </w:r>
          </w:p>
        </w:tc>
      </w:tr>
      <w:tr w:rsidR="00CE58F0" w:rsidTr="00413B8D">
        <w:tc>
          <w:tcPr>
            <w:tcW w:w="5058" w:type="dxa"/>
          </w:tcPr>
          <w:p w:rsidR="00CE58F0" w:rsidRDefault="00CE58F0" w:rsidP="00413B8D">
            <w:pPr>
              <w:rPr>
                <w:szCs w:val="24"/>
              </w:rPr>
            </w:pPr>
            <w:r>
              <w:rPr>
                <w:szCs w:val="24"/>
              </w:rPr>
              <w:t>Admitted Bodies</w:t>
            </w:r>
          </w:p>
        </w:tc>
        <w:tc>
          <w:tcPr>
            <w:tcW w:w="1559" w:type="dxa"/>
            <w:tcBorders>
              <w:bottom w:val="single" w:sz="12" w:space="0" w:color="auto"/>
            </w:tcBorders>
          </w:tcPr>
          <w:p w:rsidR="00CE58F0" w:rsidRDefault="00CE58F0" w:rsidP="00413B8D">
            <w:pPr>
              <w:jc w:val="right"/>
              <w:rPr>
                <w:szCs w:val="24"/>
              </w:rPr>
            </w:pPr>
            <w:r>
              <w:rPr>
                <w:szCs w:val="24"/>
              </w:rPr>
              <w:t>5.0</w:t>
            </w:r>
          </w:p>
        </w:tc>
        <w:tc>
          <w:tcPr>
            <w:tcW w:w="430" w:type="dxa"/>
            <w:tcBorders>
              <w:right w:val="single" w:sz="4" w:space="0" w:color="FFFFFF" w:themeColor="background1"/>
            </w:tcBorders>
          </w:tcPr>
          <w:p w:rsidR="00CE58F0" w:rsidRDefault="00CE58F0" w:rsidP="00413B8D">
            <w:pPr>
              <w:jc w:val="right"/>
              <w:rPr>
                <w:szCs w:val="24"/>
              </w:rPr>
            </w:pPr>
          </w:p>
        </w:tc>
        <w:tc>
          <w:tcPr>
            <w:tcW w:w="1696" w:type="dxa"/>
            <w:tcBorders>
              <w:left w:val="single" w:sz="4" w:space="0" w:color="FFFFFF" w:themeColor="background1"/>
              <w:bottom w:val="single" w:sz="12" w:space="0" w:color="auto"/>
            </w:tcBorders>
          </w:tcPr>
          <w:p w:rsidR="00CE58F0" w:rsidRDefault="00CE58F0" w:rsidP="00413B8D">
            <w:pPr>
              <w:jc w:val="right"/>
              <w:rPr>
                <w:szCs w:val="24"/>
              </w:rPr>
            </w:pPr>
            <w:r>
              <w:rPr>
                <w:szCs w:val="24"/>
              </w:rPr>
              <w:t>4.8</w:t>
            </w:r>
          </w:p>
        </w:tc>
      </w:tr>
      <w:tr w:rsidR="00CE58F0" w:rsidTr="00413B8D">
        <w:tc>
          <w:tcPr>
            <w:tcW w:w="5058" w:type="dxa"/>
          </w:tcPr>
          <w:p w:rsidR="00CE58F0" w:rsidRDefault="00CE58F0" w:rsidP="00413B8D">
            <w:pPr>
              <w:rPr>
                <w:szCs w:val="24"/>
              </w:rPr>
            </w:pPr>
          </w:p>
        </w:tc>
        <w:tc>
          <w:tcPr>
            <w:tcW w:w="1559" w:type="dxa"/>
            <w:tcBorders>
              <w:top w:val="single" w:sz="12" w:space="0" w:color="auto"/>
              <w:bottom w:val="single" w:sz="18" w:space="0" w:color="auto"/>
            </w:tcBorders>
          </w:tcPr>
          <w:p w:rsidR="00CE58F0" w:rsidRDefault="00CE58F0" w:rsidP="00413B8D">
            <w:pPr>
              <w:jc w:val="right"/>
              <w:rPr>
                <w:szCs w:val="24"/>
              </w:rPr>
            </w:pPr>
            <w:r>
              <w:rPr>
                <w:szCs w:val="24"/>
              </w:rPr>
              <w:t>54.0</w:t>
            </w:r>
          </w:p>
        </w:tc>
        <w:tc>
          <w:tcPr>
            <w:tcW w:w="430" w:type="dxa"/>
            <w:tcBorders>
              <w:right w:val="single" w:sz="4" w:space="0" w:color="FFFFFF" w:themeColor="background1"/>
            </w:tcBorders>
          </w:tcPr>
          <w:p w:rsidR="00CE58F0" w:rsidRDefault="00CE58F0" w:rsidP="00413B8D">
            <w:pPr>
              <w:jc w:val="right"/>
              <w:rPr>
                <w:szCs w:val="24"/>
              </w:rPr>
            </w:pPr>
          </w:p>
        </w:tc>
        <w:tc>
          <w:tcPr>
            <w:tcW w:w="1696" w:type="dxa"/>
            <w:tcBorders>
              <w:top w:val="single" w:sz="12" w:space="0" w:color="auto"/>
              <w:left w:val="single" w:sz="4" w:space="0" w:color="FFFFFF" w:themeColor="background1"/>
              <w:bottom w:val="single" w:sz="18" w:space="0" w:color="auto"/>
            </w:tcBorders>
          </w:tcPr>
          <w:p w:rsidR="00CE58F0" w:rsidRDefault="00CE58F0" w:rsidP="00413B8D">
            <w:pPr>
              <w:jc w:val="right"/>
              <w:rPr>
                <w:szCs w:val="24"/>
              </w:rPr>
            </w:pPr>
            <w:r>
              <w:rPr>
                <w:szCs w:val="24"/>
              </w:rPr>
              <w:t>51.7</w:t>
            </w:r>
          </w:p>
        </w:tc>
      </w:tr>
      <w:tr w:rsidR="00CE58F0" w:rsidTr="00413B8D">
        <w:tc>
          <w:tcPr>
            <w:tcW w:w="5058" w:type="dxa"/>
          </w:tcPr>
          <w:p w:rsidR="00CE58F0" w:rsidRDefault="00CE58F0" w:rsidP="00413B8D">
            <w:pPr>
              <w:rPr>
                <w:szCs w:val="24"/>
              </w:rPr>
            </w:pPr>
            <w:r>
              <w:rPr>
                <w:szCs w:val="24"/>
              </w:rPr>
              <w:t>Total contributions</w:t>
            </w:r>
          </w:p>
        </w:tc>
        <w:tc>
          <w:tcPr>
            <w:tcW w:w="1559" w:type="dxa"/>
            <w:tcBorders>
              <w:top w:val="single" w:sz="18" w:space="0" w:color="auto"/>
              <w:bottom w:val="single" w:sz="18" w:space="0" w:color="auto"/>
            </w:tcBorders>
          </w:tcPr>
          <w:p w:rsidR="00CE58F0" w:rsidRDefault="00CE58F0" w:rsidP="00413B8D">
            <w:pPr>
              <w:jc w:val="right"/>
              <w:rPr>
                <w:szCs w:val="24"/>
              </w:rPr>
            </w:pPr>
            <w:r>
              <w:rPr>
                <w:szCs w:val="24"/>
              </w:rPr>
              <w:t>214.0</w:t>
            </w:r>
          </w:p>
        </w:tc>
        <w:tc>
          <w:tcPr>
            <w:tcW w:w="430" w:type="dxa"/>
            <w:tcBorders>
              <w:right w:val="single" w:sz="4" w:space="0" w:color="FFFFFF" w:themeColor="background1"/>
            </w:tcBorders>
          </w:tcPr>
          <w:p w:rsidR="00CE58F0"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Default="00CE58F0" w:rsidP="00413B8D">
            <w:pPr>
              <w:jc w:val="right"/>
              <w:rPr>
                <w:szCs w:val="24"/>
              </w:rPr>
            </w:pPr>
            <w:r>
              <w:rPr>
                <w:szCs w:val="24"/>
              </w:rPr>
              <w:t>202.7</w:t>
            </w:r>
          </w:p>
        </w:tc>
      </w:tr>
    </w:tbl>
    <w:p w:rsidR="00CE58F0" w:rsidRDefault="00CE58F0" w:rsidP="00CE58F0">
      <w:pPr>
        <w:ind w:left="720"/>
        <w:rPr>
          <w:szCs w:val="24"/>
        </w:rPr>
      </w:pPr>
    </w:p>
    <w:p w:rsidR="00CE58F0" w:rsidRDefault="00CE58F0" w:rsidP="00CE58F0">
      <w:pPr>
        <w:ind w:left="720"/>
        <w:rPr>
          <w:szCs w:val="24"/>
        </w:rPr>
      </w:pPr>
      <w:r w:rsidRPr="00166665">
        <w:rPr>
          <w:szCs w:val="24"/>
        </w:rPr>
        <w:t>Within the employee contributions figure for 20</w:t>
      </w:r>
      <w:r>
        <w:rPr>
          <w:szCs w:val="24"/>
        </w:rPr>
        <w:t>13</w:t>
      </w:r>
      <w:r w:rsidRPr="00166665">
        <w:rPr>
          <w:szCs w:val="24"/>
        </w:rPr>
        <w:t>/1</w:t>
      </w:r>
      <w:r>
        <w:rPr>
          <w:szCs w:val="24"/>
        </w:rPr>
        <w:t>4</w:t>
      </w:r>
      <w:r w:rsidRPr="00166665">
        <w:rPr>
          <w:szCs w:val="24"/>
        </w:rPr>
        <w:t xml:space="preserve">, </w:t>
      </w:r>
      <w:r w:rsidRPr="00CC30FE">
        <w:rPr>
          <w:szCs w:val="24"/>
        </w:rPr>
        <w:t>£</w:t>
      </w:r>
      <w:r>
        <w:rPr>
          <w:szCs w:val="24"/>
        </w:rPr>
        <w:t>0</w:t>
      </w:r>
      <w:r w:rsidRPr="003B58A3">
        <w:rPr>
          <w:szCs w:val="24"/>
        </w:rPr>
        <w:t>.4m</w:t>
      </w:r>
      <w:r>
        <w:rPr>
          <w:szCs w:val="24"/>
        </w:rPr>
        <w:t xml:space="preserve"> is</w:t>
      </w:r>
      <w:r w:rsidRPr="00166665">
        <w:rPr>
          <w:szCs w:val="24"/>
        </w:rPr>
        <w:t xml:space="preserve"> voluntary and additional regular contributions.  All </w:t>
      </w:r>
      <w:r w:rsidRPr="00DF129C">
        <w:rPr>
          <w:szCs w:val="24"/>
        </w:rPr>
        <w:t>employer</w:t>
      </w:r>
      <w:r w:rsidRPr="00166665">
        <w:rPr>
          <w:szCs w:val="24"/>
        </w:rPr>
        <w:t xml:space="preserve"> contributions are normal contributions.  </w:t>
      </w:r>
    </w:p>
    <w:p w:rsidR="00CE58F0" w:rsidRDefault="00CE58F0" w:rsidP="00CE58F0">
      <w:pPr>
        <w:ind w:left="720"/>
        <w:rPr>
          <w:b/>
          <w:szCs w:val="24"/>
        </w:rPr>
      </w:pPr>
    </w:p>
    <w:p w:rsidR="00CE58F0" w:rsidRPr="00661385" w:rsidRDefault="00CE58F0" w:rsidP="00CE58F0">
      <w:pPr>
        <w:pStyle w:val="ListParagraph"/>
        <w:numPr>
          <w:ilvl w:val="0"/>
          <w:numId w:val="2"/>
        </w:numPr>
        <w:tabs>
          <w:tab w:val="clear" w:pos="720"/>
          <w:tab w:val="num" w:pos="862"/>
        </w:tabs>
        <w:ind w:left="862"/>
        <w:rPr>
          <w:b/>
        </w:rPr>
      </w:pPr>
      <w:r w:rsidRPr="00661385">
        <w:rPr>
          <w:b/>
        </w:rPr>
        <w:t>Transfers in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7A07AD" w:rsidRDefault="00CE58F0" w:rsidP="00413B8D">
            <w:pPr>
              <w:rPr>
                <w:szCs w:val="24"/>
              </w:rPr>
            </w:pPr>
            <w:r>
              <w:rPr>
                <w:szCs w:val="24"/>
              </w:rPr>
              <w:t>Individual transfers in from other schemes</w:t>
            </w:r>
          </w:p>
        </w:tc>
        <w:tc>
          <w:tcPr>
            <w:tcW w:w="1559" w:type="dxa"/>
          </w:tcPr>
          <w:p w:rsidR="00CE58F0" w:rsidRPr="007A07AD" w:rsidRDefault="00CE58F0" w:rsidP="00413B8D">
            <w:pPr>
              <w:jc w:val="right"/>
              <w:rPr>
                <w:szCs w:val="24"/>
              </w:rPr>
            </w:pPr>
            <w:r>
              <w:rPr>
                <w:szCs w:val="24"/>
              </w:rPr>
              <w:t>7.1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9.9</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7.1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Default="00CE58F0" w:rsidP="00413B8D">
            <w:pPr>
              <w:jc w:val="right"/>
              <w:rPr>
                <w:szCs w:val="24"/>
              </w:rPr>
            </w:pPr>
            <w:r>
              <w:rPr>
                <w:szCs w:val="24"/>
              </w:rPr>
              <w:t>9.9</w:t>
            </w:r>
          </w:p>
        </w:tc>
      </w:tr>
    </w:tbl>
    <w:p w:rsidR="00CE58F0" w:rsidRDefault="00CE58F0" w:rsidP="00CE58F0">
      <w:pPr>
        <w:pStyle w:val="BodyTextIndent"/>
        <w:tabs>
          <w:tab w:val="clear" w:pos="1080"/>
          <w:tab w:val="left" w:pos="709"/>
        </w:tabs>
        <w:spacing w:after="0"/>
        <w:ind w:left="709"/>
        <w:rPr>
          <w:szCs w:val="24"/>
        </w:rPr>
      </w:pPr>
      <w:r w:rsidRPr="00166665">
        <w:rPr>
          <w:szCs w:val="24"/>
        </w:rPr>
        <w:t xml:space="preserve"> </w:t>
      </w:r>
    </w:p>
    <w:p w:rsidR="00CE58F0" w:rsidRPr="007A07AD" w:rsidRDefault="00CE58F0" w:rsidP="00CE58F0">
      <w:pPr>
        <w:numPr>
          <w:ilvl w:val="0"/>
          <w:numId w:val="2"/>
        </w:numPr>
        <w:tabs>
          <w:tab w:val="clear" w:pos="720"/>
          <w:tab w:val="num" w:pos="862"/>
        </w:tabs>
        <w:ind w:left="862"/>
        <w:rPr>
          <w:szCs w:val="24"/>
        </w:rPr>
      </w:pPr>
      <w:r w:rsidRPr="00166665">
        <w:rPr>
          <w:b/>
          <w:szCs w:val="24"/>
        </w:rPr>
        <w:t>Benefits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1663"/>
        <w:gridCol w:w="1558"/>
        <w:gridCol w:w="419"/>
        <w:gridCol w:w="1665"/>
        <w:gridCol w:w="1135"/>
      </w:tblGrid>
      <w:tr w:rsidR="00CE58F0" w:rsidTr="00413B8D">
        <w:trPr>
          <w:gridAfter w:val="1"/>
          <w:wAfter w:w="1121" w:type="dxa"/>
        </w:trPr>
        <w:tc>
          <w:tcPr>
            <w:tcW w:w="5058" w:type="dxa"/>
            <w:gridSpan w:val="2"/>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lastRenderedPageBreak/>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lastRenderedPageBreak/>
              <w:t>2012/13</w:t>
            </w:r>
          </w:p>
          <w:p w:rsidR="00CE58F0" w:rsidRDefault="00CE58F0" w:rsidP="00413B8D">
            <w:pPr>
              <w:jc w:val="right"/>
              <w:rPr>
                <w:b/>
                <w:szCs w:val="24"/>
              </w:rPr>
            </w:pPr>
            <w:r>
              <w:rPr>
                <w:b/>
                <w:szCs w:val="24"/>
              </w:rPr>
              <w:lastRenderedPageBreak/>
              <w:t>£m</w:t>
            </w:r>
          </w:p>
        </w:tc>
      </w:tr>
      <w:tr w:rsidR="00CE58F0" w:rsidRPr="007A07AD" w:rsidTr="00413B8D">
        <w:trPr>
          <w:gridAfter w:val="1"/>
          <w:wAfter w:w="1121" w:type="dxa"/>
        </w:trPr>
        <w:tc>
          <w:tcPr>
            <w:tcW w:w="5058" w:type="dxa"/>
            <w:gridSpan w:val="2"/>
          </w:tcPr>
          <w:p w:rsidR="00CE58F0" w:rsidRPr="007A07AD" w:rsidRDefault="00CE58F0" w:rsidP="00413B8D">
            <w:pPr>
              <w:rPr>
                <w:szCs w:val="24"/>
              </w:rPr>
            </w:pPr>
            <w:r>
              <w:rPr>
                <w:szCs w:val="24"/>
              </w:rPr>
              <w:lastRenderedPageBreak/>
              <w:t>Pensions</w:t>
            </w:r>
          </w:p>
        </w:tc>
        <w:tc>
          <w:tcPr>
            <w:tcW w:w="1559" w:type="dxa"/>
          </w:tcPr>
          <w:p w:rsidR="00CE58F0" w:rsidRPr="007A07AD" w:rsidRDefault="00CE58F0" w:rsidP="00413B8D">
            <w:pPr>
              <w:jc w:val="right"/>
              <w:rPr>
                <w:szCs w:val="24"/>
              </w:rPr>
            </w:pPr>
            <w:r>
              <w:rPr>
                <w:szCs w:val="24"/>
              </w:rPr>
              <w:t>183.9</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176.5</w:t>
            </w:r>
          </w:p>
        </w:tc>
      </w:tr>
      <w:tr w:rsidR="00CE58F0" w:rsidRPr="007A07AD" w:rsidTr="00413B8D">
        <w:trPr>
          <w:gridAfter w:val="1"/>
          <w:wAfter w:w="1121" w:type="dxa"/>
        </w:trPr>
        <w:tc>
          <w:tcPr>
            <w:tcW w:w="5058" w:type="dxa"/>
            <w:gridSpan w:val="2"/>
          </w:tcPr>
          <w:p w:rsidR="00CE58F0" w:rsidRDefault="00CE58F0" w:rsidP="00413B8D">
            <w:pPr>
              <w:rPr>
                <w:szCs w:val="24"/>
              </w:rPr>
            </w:pPr>
            <w:r>
              <w:rPr>
                <w:szCs w:val="24"/>
              </w:rPr>
              <w:t>Lump sum retirement benefits</w:t>
            </w:r>
          </w:p>
        </w:tc>
        <w:tc>
          <w:tcPr>
            <w:tcW w:w="1559" w:type="dxa"/>
          </w:tcPr>
          <w:p w:rsidR="00CE58F0" w:rsidRPr="007A07AD" w:rsidRDefault="00CE58F0" w:rsidP="00413B8D">
            <w:pPr>
              <w:jc w:val="right"/>
              <w:rPr>
                <w:szCs w:val="24"/>
              </w:rPr>
            </w:pPr>
            <w:r>
              <w:rPr>
                <w:szCs w:val="24"/>
              </w:rPr>
              <w:t>33.2</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Default="00CE58F0" w:rsidP="00413B8D">
            <w:pPr>
              <w:jc w:val="right"/>
              <w:rPr>
                <w:szCs w:val="24"/>
              </w:rPr>
            </w:pPr>
            <w:r>
              <w:rPr>
                <w:szCs w:val="24"/>
              </w:rPr>
              <w:t>28.3</w:t>
            </w:r>
          </w:p>
        </w:tc>
      </w:tr>
      <w:tr w:rsidR="00CE58F0" w:rsidRPr="007A07AD" w:rsidTr="00413B8D">
        <w:trPr>
          <w:gridAfter w:val="1"/>
          <w:wAfter w:w="1121" w:type="dxa"/>
        </w:trPr>
        <w:tc>
          <w:tcPr>
            <w:tcW w:w="5058" w:type="dxa"/>
            <w:gridSpan w:val="2"/>
          </w:tcPr>
          <w:p w:rsidR="00CE58F0" w:rsidRDefault="00CE58F0" w:rsidP="00413B8D">
            <w:pPr>
              <w:rPr>
                <w:szCs w:val="24"/>
              </w:rPr>
            </w:pPr>
            <w:r>
              <w:rPr>
                <w:szCs w:val="24"/>
              </w:rPr>
              <w:t>Lump Sum death benefits</w:t>
            </w:r>
          </w:p>
        </w:tc>
        <w:tc>
          <w:tcPr>
            <w:tcW w:w="1559" w:type="dxa"/>
            <w:tcBorders>
              <w:bottom w:val="single" w:sz="18" w:space="0" w:color="auto"/>
            </w:tcBorders>
          </w:tcPr>
          <w:p w:rsidR="00CE58F0" w:rsidRPr="007A07AD" w:rsidRDefault="00CE58F0" w:rsidP="00413B8D">
            <w:pPr>
              <w:jc w:val="right"/>
              <w:rPr>
                <w:szCs w:val="24"/>
              </w:rPr>
            </w:pPr>
            <w:r>
              <w:rPr>
                <w:szCs w:val="24"/>
              </w:rPr>
              <w:t>4.0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Default="00CE58F0" w:rsidP="00413B8D">
            <w:pPr>
              <w:jc w:val="right"/>
              <w:rPr>
                <w:szCs w:val="24"/>
              </w:rPr>
            </w:pPr>
            <w:r>
              <w:rPr>
                <w:szCs w:val="24"/>
              </w:rPr>
              <w:t>5.4</w:t>
            </w:r>
          </w:p>
        </w:tc>
      </w:tr>
      <w:tr w:rsidR="00CE58F0" w:rsidRPr="007A07AD" w:rsidTr="00413B8D">
        <w:trPr>
          <w:gridAfter w:val="1"/>
          <w:wAfter w:w="1121" w:type="dxa"/>
        </w:trPr>
        <w:tc>
          <w:tcPr>
            <w:tcW w:w="5058" w:type="dxa"/>
            <w:gridSpan w:val="2"/>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221.1</w:t>
            </w:r>
          </w:p>
        </w:tc>
        <w:tc>
          <w:tcPr>
            <w:tcW w:w="430" w:type="dxa"/>
          </w:tcPr>
          <w:p w:rsidR="00CE58F0" w:rsidRPr="007A07AD" w:rsidRDefault="00CE58F0" w:rsidP="00413B8D">
            <w:pPr>
              <w:jc w:val="right"/>
              <w:rPr>
                <w:szCs w:val="24"/>
              </w:rPr>
            </w:pPr>
          </w:p>
        </w:tc>
        <w:tc>
          <w:tcPr>
            <w:tcW w:w="1696" w:type="dxa"/>
            <w:tcBorders>
              <w:top w:val="single" w:sz="18" w:space="0" w:color="auto"/>
              <w:bottom w:val="single" w:sz="18" w:space="0" w:color="auto"/>
            </w:tcBorders>
          </w:tcPr>
          <w:p w:rsidR="00CE58F0" w:rsidRDefault="00CE58F0" w:rsidP="00413B8D">
            <w:pPr>
              <w:jc w:val="right"/>
              <w:rPr>
                <w:szCs w:val="24"/>
              </w:rPr>
            </w:pPr>
            <w:r>
              <w:rPr>
                <w:szCs w:val="24"/>
              </w:rPr>
              <w:t>210.2</w:t>
            </w:r>
          </w:p>
        </w:tc>
      </w:tr>
      <w:tr w:rsidR="00CE58F0" w:rsidRPr="007A07AD" w:rsidTr="00413B8D">
        <w:trPr>
          <w:gridAfter w:val="1"/>
          <w:wAfter w:w="1121" w:type="dxa"/>
        </w:trPr>
        <w:tc>
          <w:tcPr>
            <w:tcW w:w="5058" w:type="dxa"/>
            <w:gridSpan w:val="2"/>
          </w:tcPr>
          <w:p w:rsidR="00CE58F0" w:rsidRDefault="00CE58F0" w:rsidP="00413B8D">
            <w:pPr>
              <w:rPr>
                <w:b/>
                <w:szCs w:val="24"/>
              </w:rPr>
            </w:pPr>
            <w:r>
              <w:rPr>
                <w:b/>
                <w:szCs w:val="24"/>
              </w:rPr>
              <w:t>Relating to:</w:t>
            </w:r>
          </w:p>
        </w:tc>
        <w:tc>
          <w:tcPr>
            <w:tcW w:w="1559" w:type="dxa"/>
          </w:tcPr>
          <w:p w:rsidR="00CE58F0" w:rsidRDefault="00CE58F0" w:rsidP="00413B8D">
            <w:pPr>
              <w:jc w:val="right"/>
              <w:rPr>
                <w:b/>
                <w:szCs w:val="24"/>
              </w:rPr>
            </w:pPr>
          </w:p>
        </w:tc>
        <w:tc>
          <w:tcPr>
            <w:tcW w:w="430" w:type="dxa"/>
          </w:tcPr>
          <w:p w:rsidR="00CE58F0" w:rsidRDefault="00CE58F0" w:rsidP="00413B8D">
            <w:pPr>
              <w:jc w:val="right"/>
              <w:rPr>
                <w:b/>
                <w:szCs w:val="24"/>
              </w:rPr>
            </w:pPr>
          </w:p>
        </w:tc>
        <w:tc>
          <w:tcPr>
            <w:tcW w:w="1696" w:type="dxa"/>
          </w:tcPr>
          <w:p w:rsidR="00CE58F0" w:rsidRDefault="00CE58F0" w:rsidP="00413B8D">
            <w:pPr>
              <w:jc w:val="right"/>
              <w:rPr>
                <w:b/>
                <w:szCs w:val="24"/>
              </w:rPr>
            </w:pPr>
          </w:p>
        </w:tc>
      </w:tr>
      <w:tr w:rsidR="00CE58F0" w:rsidRPr="007A07AD" w:rsidTr="00413B8D">
        <w:trPr>
          <w:gridAfter w:val="1"/>
          <w:wAfter w:w="1121" w:type="dxa"/>
        </w:trPr>
        <w:tc>
          <w:tcPr>
            <w:tcW w:w="5058" w:type="dxa"/>
            <w:gridSpan w:val="2"/>
          </w:tcPr>
          <w:p w:rsidR="00CE58F0" w:rsidRPr="007A07AD" w:rsidRDefault="00CE58F0" w:rsidP="00413B8D">
            <w:pPr>
              <w:rPr>
                <w:szCs w:val="24"/>
              </w:rPr>
            </w:pPr>
            <w:r>
              <w:rPr>
                <w:szCs w:val="24"/>
              </w:rPr>
              <w:t>County Council</w:t>
            </w:r>
          </w:p>
        </w:tc>
        <w:tc>
          <w:tcPr>
            <w:tcW w:w="1559" w:type="dxa"/>
          </w:tcPr>
          <w:p w:rsidR="00CE58F0" w:rsidRPr="007A07AD" w:rsidRDefault="00CE58F0" w:rsidP="00413B8D">
            <w:pPr>
              <w:jc w:val="right"/>
              <w:rPr>
                <w:szCs w:val="24"/>
              </w:rPr>
            </w:pPr>
            <w:r>
              <w:rPr>
                <w:szCs w:val="24"/>
              </w:rPr>
              <w:t>93.4</w:t>
            </w:r>
          </w:p>
        </w:tc>
        <w:tc>
          <w:tcPr>
            <w:tcW w:w="430" w:type="dxa"/>
          </w:tcPr>
          <w:p w:rsidR="00CE58F0" w:rsidRPr="007A07AD" w:rsidRDefault="00CE58F0" w:rsidP="00413B8D">
            <w:pPr>
              <w:jc w:val="right"/>
              <w:rPr>
                <w:szCs w:val="24"/>
              </w:rPr>
            </w:pPr>
          </w:p>
        </w:tc>
        <w:tc>
          <w:tcPr>
            <w:tcW w:w="1696" w:type="dxa"/>
          </w:tcPr>
          <w:p w:rsidR="00CE58F0" w:rsidRPr="007A07AD" w:rsidRDefault="00CE58F0" w:rsidP="00413B8D">
            <w:pPr>
              <w:jc w:val="right"/>
              <w:rPr>
                <w:szCs w:val="24"/>
              </w:rPr>
            </w:pPr>
            <w:r>
              <w:rPr>
                <w:szCs w:val="24"/>
              </w:rPr>
              <w:t>91.4</w:t>
            </w:r>
          </w:p>
        </w:tc>
      </w:tr>
      <w:tr w:rsidR="00CE58F0" w:rsidRPr="007A07AD" w:rsidTr="00413B8D">
        <w:trPr>
          <w:gridAfter w:val="1"/>
          <w:wAfter w:w="1121" w:type="dxa"/>
        </w:trPr>
        <w:tc>
          <w:tcPr>
            <w:tcW w:w="5058" w:type="dxa"/>
            <w:gridSpan w:val="2"/>
          </w:tcPr>
          <w:p w:rsidR="00CE58F0" w:rsidRDefault="00CE58F0" w:rsidP="00413B8D">
            <w:pPr>
              <w:rPr>
                <w:szCs w:val="24"/>
              </w:rPr>
            </w:pPr>
            <w:r>
              <w:rPr>
                <w:szCs w:val="24"/>
              </w:rPr>
              <w:t>Scheduled Bodies</w:t>
            </w:r>
          </w:p>
        </w:tc>
        <w:tc>
          <w:tcPr>
            <w:tcW w:w="1559" w:type="dxa"/>
          </w:tcPr>
          <w:p w:rsidR="00CE58F0" w:rsidRPr="007A07AD" w:rsidRDefault="00CE58F0" w:rsidP="00413B8D">
            <w:pPr>
              <w:jc w:val="right"/>
              <w:rPr>
                <w:szCs w:val="24"/>
              </w:rPr>
            </w:pPr>
            <w:r>
              <w:rPr>
                <w:szCs w:val="24"/>
              </w:rPr>
              <w:t>112.9</w:t>
            </w:r>
          </w:p>
        </w:tc>
        <w:tc>
          <w:tcPr>
            <w:tcW w:w="430" w:type="dxa"/>
          </w:tcPr>
          <w:p w:rsidR="00CE58F0" w:rsidRPr="007A07AD" w:rsidRDefault="00CE58F0" w:rsidP="00413B8D">
            <w:pPr>
              <w:jc w:val="right"/>
              <w:rPr>
                <w:szCs w:val="24"/>
              </w:rPr>
            </w:pPr>
          </w:p>
        </w:tc>
        <w:tc>
          <w:tcPr>
            <w:tcW w:w="1696" w:type="dxa"/>
          </w:tcPr>
          <w:p w:rsidR="00CE58F0" w:rsidRDefault="00CE58F0" w:rsidP="00413B8D">
            <w:pPr>
              <w:jc w:val="right"/>
              <w:rPr>
                <w:szCs w:val="24"/>
              </w:rPr>
            </w:pPr>
            <w:r>
              <w:rPr>
                <w:szCs w:val="24"/>
              </w:rPr>
              <w:t>105.7</w:t>
            </w:r>
          </w:p>
        </w:tc>
      </w:tr>
      <w:tr w:rsidR="00CE58F0" w:rsidRPr="007A07AD" w:rsidTr="00413B8D">
        <w:trPr>
          <w:gridAfter w:val="1"/>
          <w:wAfter w:w="1121" w:type="dxa"/>
        </w:trPr>
        <w:tc>
          <w:tcPr>
            <w:tcW w:w="5058" w:type="dxa"/>
            <w:gridSpan w:val="2"/>
          </w:tcPr>
          <w:p w:rsidR="00CE58F0" w:rsidRDefault="00CE58F0" w:rsidP="00413B8D">
            <w:pPr>
              <w:rPr>
                <w:szCs w:val="24"/>
              </w:rPr>
            </w:pPr>
            <w:r>
              <w:rPr>
                <w:szCs w:val="24"/>
              </w:rPr>
              <w:t>Admitted Bodies</w:t>
            </w:r>
          </w:p>
        </w:tc>
        <w:tc>
          <w:tcPr>
            <w:tcW w:w="1559" w:type="dxa"/>
            <w:tcBorders>
              <w:bottom w:val="single" w:sz="18" w:space="0" w:color="auto"/>
            </w:tcBorders>
          </w:tcPr>
          <w:p w:rsidR="00CE58F0" w:rsidRPr="007A07AD" w:rsidRDefault="00CE58F0" w:rsidP="00413B8D">
            <w:pPr>
              <w:jc w:val="right"/>
              <w:rPr>
                <w:szCs w:val="24"/>
              </w:rPr>
            </w:pPr>
            <w:r>
              <w:rPr>
                <w:szCs w:val="24"/>
              </w:rPr>
              <w:t>14.8</w:t>
            </w:r>
          </w:p>
        </w:tc>
        <w:tc>
          <w:tcPr>
            <w:tcW w:w="430" w:type="dxa"/>
          </w:tcPr>
          <w:p w:rsidR="00CE58F0" w:rsidRPr="007A07AD" w:rsidRDefault="00CE58F0" w:rsidP="00413B8D">
            <w:pPr>
              <w:jc w:val="right"/>
              <w:rPr>
                <w:szCs w:val="24"/>
              </w:rPr>
            </w:pPr>
          </w:p>
        </w:tc>
        <w:tc>
          <w:tcPr>
            <w:tcW w:w="1696" w:type="dxa"/>
            <w:tcBorders>
              <w:bottom w:val="single" w:sz="18" w:space="0" w:color="auto"/>
            </w:tcBorders>
          </w:tcPr>
          <w:p w:rsidR="00CE58F0" w:rsidRDefault="00CE58F0" w:rsidP="00413B8D">
            <w:pPr>
              <w:jc w:val="right"/>
              <w:rPr>
                <w:szCs w:val="24"/>
              </w:rPr>
            </w:pPr>
            <w:r>
              <w:rPr>
                <w:szCs w:val="24"/>
              </w:rPr>
              <w:t>13.1</w:t>
            </w:r>
          </w:p>
        </w:tc>
      </w:tr>
      <w:tr w:rsidR="00CE58F0" w:rsidRPr="007A07AD" w:rsidTr="00413B8D">
        <w:trPr>
          <w:gridAfter w:val="1"/>
          <w:wAfter w:w="1121" w:type="dxa"/>
        </w:trPr>
        <w:tc>
          <w:tcPr>
            <w:tcW w:w="5058" w:type="dxa"/>
            <w:gridSpan w:val="2"/>
          </w:tcPr>
          <w:p w:rsidR="00CE58F0" w:rsidRDefault="00CE58F0" w:rsidP="00413B8D">
            <w:pPr>
              <w:rPr>
                <w:szCs w:val="24"/>
              </w:rPr>
            </w:pPr>
          </w:p>
        </w:tc>
        <w:tc>
          <w:tcPr>
            <w:tcW w:w="1559" w:type="dxa"/>
            <w:tcBorders>
              <w:top w:val="single" w:sz="18" w:space="0" w:color="auto"/>
              <w:bottom w:val="single" w:sz="18" w:space="0" w:color="auto"/>
            </w:tcBorders>
          </w:tcPr>
          <w:p w:rsidR="00CE58F0" w:rsidRPr="003E24F5" w:rsidRDefault="00CE58F0" w:rsidP="00413B8D">
            <w:pPr>
              <w:jc w:val="right"/>
              <w:rPr>
                <w:szCs w:val="24"/>
              </w:rPr>
            </w:pPr>
            <w:r w:rsidRPr="003E24F5">
              <w:rPr>
                <w:szCs w:val="24"/>
              </w:rPr>
              <w:t>221.1</w:t>
            </w:r>
          </w:p>
        </w:tc>
        <w:tc>
          <w:tcPr>
            <w:tcW w:w="430" w:type="dxa"/>
          </w:tcPr>
          <w:p w:rsidR="00CE58F0" w:rsidRPr="003E24F5" w:rsidRDefault="00CE58F0" w:rsidP="00413B8D">
            <w:pPr>
              <w:jc w:val="right"/>
              <w:rPr>
                <w:szCs w:val="24"/>
              </w:rPr>
            </w:pPr>
          </w:p>
        </w:tc>
        <w:tc>
          <w:tcPr>
            <w:tcW w:w="1696" w:type="dxa"/>
            <w:tcBorders>
              <w:top w:val="single" w:sz="18" w:space="0" w:color="auto"/>
              <w:bottom w:val="single" w:sz="18" w:space="0" w:color="auto"/>
            </w:tcBorders>
          </w:tcPr>
          <w:p w:rsidR="00CE58F0" w:rsidRPr="003E24F5" w:rsidRDefault="00CE58F0" w:rsidP="00413B8D">
            <w:pPr>
              <w:jc w:val="right"/>
              <w:rPr>
                <w:szCs w:val="24"/>
              </w:rPr>
            </w:pPr>
            <w:r w:rsidRPr="003E24F5">
              <w:rPr>
                <w:szCs w:val="24"/>
              </w:rPr>
              <w:t>210.2</w:t>
            </w:r>
          </w:p>
        </w:tc>
      </w:tr>
      <w:tr w:rsidR="00CE58F0" w:rsidTr="00413B8D">
        <w:tc>
          <w:tcPr>
            <w:tcW w:w="3320" w:type="dxa"/>
          </w:tcPr>
          <w:p w:rsidR="00CE58F0" w:rsidRDefault="00CE58F0" w:rsidP="00413B8D">
            <w:pPr>
              <w:jc w:val="both"/>
              <w:rPr>
                <w:b/>
                <w:szCs w:val="24"/>
              </w:rPr>
            </w:pPr>
          </w:p>
        </w:tc>
        <w:tc>
          <w:tcPr>
            <w:tcW w:w="3321" w:type="dxa"/>
            <w:gridSpan w:val="2"/>
          </w:tcPr>
          <w:p w:rsidR="00CE58F0" w:rsidRDefault="00CE58F0" w:rsidP="00413B8D">
            <w:pPr>
              <w:jc w:val="right"/>
              <w:rPr>
                <w:b/>
                <w:szCs w:val="24"/>
              </w:rPr>
            </w:pPr>
          </w:p>
        </w:tc>
        <w:tc>
          <w:tcPr>
            <w:tcW w:w="3321" w:type="dxa"/>
            <w:gridSpan w:val="3"/>
          </w:tcPr>
          <w:p w:rsidR="00CE58F0" w:rsidRDefault="00CE58F0" w:rsidP="00413B8D">
            <w:pPr>
              <w:ind w:left="1340"/>
              <w:jc w:val="both"/>
              <w:rPr>
                <w:b/>
                <w:szCs w:val="24"/>
              </w:rPr>
            </w:pPr>
          </w:p>
        </w:tc>
      </w:tr>
    </w:tbl>
    <w:p w:rsidR="00CE58F0" w:rsidRPr="00661385" w:rsidRDefault="00CE58F0" w:rsidP="00CE58F0">
      <w:pPr>
        <w:numPr>
          <w:ilvl w:val="0"/>
          <w:numId w:val="2"/>
        </w:numPr>
        <w:tabs>
          <w:tab w:val="clear" w:pos="720"/>
          <w:tab w:val="num" w:pos="862"/>
        </w:tabs>
        <w:ind w:left="862"/>
        <w:rPr>
          <w:b/>
          <w:szCs w:val="24"/>
        </w:rPr>
      </w:pPr>
      <w:r w:rsidRPr="00661385">
        <w:rPr>
          <w:b/>
          <w:szCs w:val="24"/>
        </w:rPr>
        <w:t>Payments to and on account of leavers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RPr="007A07AD" w:rsidTr="00413B8D">
        <w:tc>
          <w:tcPr>
            <w:tcW w:w="5058" w:type="dxa"/>
          </w:tcPr>
          <w:p w:rsidR="00CE58F0" w:rsidRDefault="00CE58F0" w:rsidP="00413B8D">
            <w:pPr>
              <w:rPr>
                <w:szCs w:val="24"/>
              </w:rPr>
            </w:pPr>
            <w:r>
              <w:rPr>
                <w:szCs w:val="24"/>
              </w:rPr>
              <w:t>Individual transfers to other schemes</w:t>
            </w:r>
          </w:p>
        </w:tc>
        <w:tc>
          <w:tcPr>
            <w:tcW w:w="1559" w:type="dxa"/>
            <w:vMerge w:val="restart"/>
          </w:tcPr>
          <w:p w:rsidR="00CE58F0" w:rsidRDefault="00CE58F0" w:rsidP="00413B8D">
            <w:pPr>
              <w:jc w:val="right"/>
              <w:rPr>
                <w:szCs w:val="24"/>
              </w:rPr>
            </w:pPr>
            <w:r>
              <w:rPr>
                <w:szCs w:val="24"/>
              </w:rPr>
              <w:t>12.9</w:t>
            </w:r>
          </w:p>
          <w:p w:rsidR="00CE58F0" w:rsidRPr="007A07AD" w:rsidRDefault="00CE58F0" w:rsidP="00413B8D">
            <w:pPr>
              <w:jc w:val="right"/>
              <w:rPr>
                <w:szCs w:val="24"/>
              </w:rPr>
            </w:pPr>
            <w:r>
              <w:rPr>
                <w:szCs w:val="24"/>
              </w:rPr>
              <w:t>2.4</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vMerge w:val="restart"/>
            <w:tcBorders>
              <w:left w:val="single" w:sz="4" w:space="0" w:color="FFFFFF" w:themeColor="background1"/>
            </w:tcBorders>
          </w:tcPr>
          <w:p w:rsidR="00CE58F0" w:rsidRDefault="00CE58F0" w:rsidP="00413B8D">
            <w:pPr>
              <w:jc w:val="right"/>
              <w:rPr>
                <w:szCs w:val="24"/>
              </w:rPr>
            </w:pPr>
            <w:r>
              <w:rPr>
                <w:szCs w:val="24"/>
              </w:rPr>
              <w:t>12.6</w:t>
            </w:r>
          </w:p>
          <w:p w:rsidR="00CE58F0" w:rsidRDefault="00CE58F0" w:rsidP="00413B8D">
            <w:pPr>
              <w:jc w:val="right"/>
              <w:rPr>
                <w:szCs w:val="24"/>
              </w:rPr>
            </w:pPr>
            <w:r>
              <w:rPr>
                <w:szCs w:val="24"/>
              </w:rPr>
              <w:t>0</w:t>
            </w:r>
          </w:p>
        </w:tc>
      </w:tr>
      <w:tr w:rsidR="00CE58F0" w:rsidRPr="007A07AD" w:rsidTr="00413B8D">
        <w:tc>
          <w:tcPr>
            <w:tcW w:w="5058" w:type="dxa"/>
          </w:tcPr>
          <w:p w:rsidR="00CE58F0" w:rsidRDefault="00CE58F0" w:rsidP="00413B8D">
            <w:pPr>
              <w:rPr>
                <w:szCs w:val="24"/>
              </w:rPr>
            </w:pPr>
            <w:r>
              <w:rPr>
                <w:szCs w:val="24"/>
              </w:rPr>
              <w:t>Bulk transfers to other schemes</w:t>
            </w:r>
          </w:p>
        </w:tc>
        <w:tc>
          <w:tcPr>
            <w:tcW w:w="1559" w:type="dxa"/>
            <w:vMerge/>
            <w:tcBorders>
              <w:bottom w:val="single" w:sz="18" w:space="0" w:color="auto"/>
            </w:tcBorders>
          </w:tcPr>
          <w:p w:rsidR="00CE58F0"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vMerge/>
            <w:tcBorders>
              <w:left w:val="single" w:sz="4" w:space="0" w:color="FFFFFF" w:themeColor="background1"/>
              <w:bottom w:val="single" w:sz="18" w:space="0" w:color="auto"/>
            </w:tcBorders>
          </w:tcPr>
          <w:p w:rsidR="00CE58F0" w:rsidRDefault="00CE58F0" w:rsidP="00413B8D">
            <w:pPr>
              <w:jc w:val="right"/>
              <w:rPr>
                <w:szCs w:val="24"/>
              </w:rPr>
            </w:pP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15.3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Default="00CE58F0" w:rsidP="00413B8D">
            <w:pPr>
              <w:jc w:val="right"/>
              <w:rPr>
                <w:szCs w:val="24"/>
              </w:rPr>
            </w:pPr>
            <w:r>
              <w:rPr>
                <w:szCs w:val="24"/>
              </w:rPr>
              <w:t>12.6</w:t>
            </w:r>
          </w:p>
        </w:tc>
      </w:tr>
    </w:tbl>
    <w:p w:rsidR="00CE58F0" w:rsidRDefault="00CE58F0" w:rsidP="00CE58F0">
      <w:pPr>
        <w:rPr>
          <w:szCs w:val="24"/>
        </w:rPr>
      </w:pPr>
    </w:p>
    <w:p w:rsidR="00CE58F0" w:rsidRPr="00661385" w:rsidRDefault="00CE58F0" w:rsidP="00CE58F0">
      <w:pPr>
        <w:numPr>
          <w:ilvl w:val="0"/>
          <w:numId w:val="2"/>
        </w:numPr>
        <w:tabs>
          <w:tab w:val="clear" w:pos="720"/>
          <w:tab w:val="num" w:pos="862"/>
        </w:tabs>
        <w:ind w:left="862"/>
        <w:rPr>
          <w:b/>
          <w:szCs w:val="24"/>
        </w:rPr>
      </w:pPr>
      <w:r w:rsidRPr="00661385">
        <w:rPr>
          <w:b/>
          <w:szCs w:val="24"/>
        </w:rPr>
        <w:t>Administrative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7A07AD" w:rsidRDefault="00CE58F0" w:rsidP="00413B8D">
            <w:pPr>
              <w:rPr>
                <w:szCs w:val="24"/>
              </w:rPr>
            </w:pPr>
            <w:r>
              <w:rPr>
                <w:szCs w:val="24"/>
              </w:rPr>
              <w:t>Administration and processing</w:t>
            </w:r>
          </w:p>
        </w:tc>
        <w:tc>
          <w:tcPr>
            <w:tcW w:w="1559" w:type="dxa"/>
          </w:tcPr>
          <w:p w:rsidR="00CE58F0" w:rsidRPr="007A07AD" w:rsidRDefault="00CE58F0" w:rsidP="00413B8D">
            <w:pPr>
              <w:jc w:val="right"/>
              <w:rPr>
                <w:szCs w:val="24"/>
              </w:rPr>
            </w:pPr>
            <w:r>
              <w:rPr>
                <w:szCs w:val="24"/>
              </w:rPr>
              <w:t>4.2</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3.8</w:t>
            </w:r>
          </w:p>
        </w:tc>
      </w:tr>
      <w:tr w:rsidR="00CE58F0" w:rsidRPr="007A07AD" w:rsidTr="00413B8D">
        <w:tc>
          <w:tcPr>
            <w:tcW w:w="5058" w:type="dxa"/>
          </w:tcPr>
          <w:p w:rsidR="00CE58F0" w:rsidRDefault="00CE58F0" w:rsidP="00413B8D">
            <w:pPr>
              <w:rPr>
                <w:szCs w:val="24"/>
              </w:rPr>
            </w:pPr>
            <w:r>
              <w:rPr>
                <w:szCs w:val="24"/>
              </w:rPr>
              <w:t>Audit fee</w:t>
            </w:r>
            <w:r w:rsidR="00AA4E00">
              <w:rPr>
                <w:szCs w:val="24"/>
              </w:rPr>
              <w:t>*</w:t>
            </w:r>
          </w:p>
        </w:tc>
        <w:tc>
          <w:tcPr>
            <w:tcW w:w="1559" w:type="dxa"/>
          </w:tcPr>
          <w:p w:rsidR="00CE58F0" w:rsidRPr="007A07AD" w:rsidRDefault="00CE58F0" w:rsidP="00413B8D">
            <w:pPr>
              <w:jc w:val="right"/>
              <w:rPr>
                <w:szCs w:val="24"/>
              </w:rPr>
            </w:pPr>
            <w:r>
              <w:rPr>
                <w:szCs w:val="24"/>
              </w:rPr>
              <w:t>0.1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Default="00CE58F0" w:rsidP="00413B8D">
            <w:pPr>
              <w:jc w:val="right"/>
              <w:rPr>
                <w:szCs w:val="24"/>
              </w:rPr>
            </w:pPr>
            <w:r>
              <w:rPr>
                <w:szCs w:val="24"/>
              </w:rPr>
              <w:t>0.1</w:t>
            </w:r>
          </w:p>
        </w:tc>
      </w:tr>
      <w:tr w:rsidR="00CE58F0" w:rsidRPr="007A07AD" w:rsidTr="00413B8D">
        <w:tc>
          <w:tcPr>
            <w:tcW w:w="5058" w:type="dxa"/>
          </w:tcPr>
          <w:p w:rsidR="00CE58F0" w:rsidRDefault="00CE58F0" w:rsidP="00413B8D">
            <w:pPr>
              <w:rPr>
                <w:szCs w:val="24"/>
              </w:rPr>
            </w:pPr>
            <w:r>
              <w:rPr>
                <w:szCs w:val="24"/>
              </w:rPr>
              <w:t>Legal and other professional fees</w:t>
            </w:r>
          </w:p>
        </w:tc>
        <w:tc>
          <w:tcPr>
            <w:tcW w:w="1559" w:type="dxa"/>
            <w:tcBorders>
              <w:bottom w:val="single" w:sz="18" w:space="0" w:color="auto"/>
            </w:tcBorders>
          </w:tcPr>
          <w:p w:rsidR="00CE58F0" w:rsidRDefault="00CE58F0" w:rsidP="00413B8D">
            <w:pPr>
              <w:jc w:val="right"/>
              <w:rPr>
                <w:szCs w:val="24"/>
              </w:rPr>
            </w:pPr>
            <w:r>
              <w:rPr>
                <w:szCs w:val="24"/>
              </w:rPr>
              <w:t>0.2</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Default="00CE58F0" w:rsidP="00413B8D">
            <w:pPr>
              <w:jc w:val="right"/>
              <w:rPr>
                <w:szCs w:val="24"/>
              </w:rPr>
            </w:pPr>
            <w:r>
              <w:rPr>
                <w:szCs w:val="24"/>
              </w:rPr>
              <w:t>1.1</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Default="00CE58F0" w:rsidP="00413B8D">
            <w:pPr>
              <w:jc w:val="right"/>
              <w:rPr>
                <w:szCs w:val="24"/>
              </w:rPr>
            </w:pPr>
            <w:r>
              <w:rPr>
                <w:szCs w:val="24"/>
              </w:rPr>
              <w:t>4.5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Default="00CE58F0" w:rsidP="00413B8D">
            <w:pPr>
              <w:jc w:val="right"/>
              <w:rPr>
                <w:szCs w:val="24"/>
              </w:rPr>
            </w:pPr>
            <w:r>
              <w:rPr>
                <w:szCs w:val="24"/>
              </w:rPr>
              <w:t>5.0</w:t>
            </w:r>
          </w:p>
        </w:tc>
      </w:tr>
    </w:tbl>
    <w:p w:rsidR="00AA4E00" w:rsidRDefault="00AA4E00" w:rsidP="00CE58F0">
      <w:pPr>
        <w:rPr>
          <w:szCs w:val="24"/>
        </w:rPr>
      </w:pPr>
    </w:p>
    <w:p w:rsidR="00AA4E00" w:rsidRDefault="000665DF" w:rsidP="000665DF">
      <w:pPr>
        <w:ind w:left="567" w:hanging="284"/>
        <w:jc w:val="both"/>
        <w:rPr>
          <w:szCs w:val="24"/>
        </w:rPr>
      </w:pPr>
      <w:r>
        <w:rPr>
          <w:szCs w:val="24"/>
        </w:rPr>
        <w:t xml:space="preserve">     </w:t>
      </w:r>
      <w:r w:rsidR="00AA4E00">
        <w:rPr>
          <w:szCs w:val="24"/>
        </w:rPr>
        <w:t>*The total amount payable for external audit services carried out by the appointed auditor         in 2013/14</w:t>
      </w:r>
      <w:r>
        <w:rPr>
          <w:szCs w:val="24"/>
        </w:rPr>
        <w:t xml:space="preserve"> was £38k (£41k in 2012/13).</w:t>
      </w:r>
    </w:p>
    <w:p w:rsidR="00AA4E00" w:rsidRDefault="00AA4E00" w:rsidP="00CE58F0">
      <w:pPr>
        <w:rPr>
          <w:szCs w:val="24"/>
        </w:rPr>
      </w:pPr>
    </w:p>
    <w:p w:rsidR="00CE58F0" w:rsidRPr="00E601F3" w:rsidRDefault="00783C33" w:rsidP="00CE58F0">
      <w:pPr>
        <w:numPr>
          <w:ilvl w:val="0"/>
          <w:numId w:val="2"/>
        </w:numPr>
        <w:tabs>
          <w:tab w:val="clear" w:pos="720"/>
          <w:tab w:val="num" w:pos="862"/>
        </w:tabs>
        <w:spacing w:after="120"/>
        <w:ind w:left="862"/>
        <w:rPr>
          <w:szCs w:val="24"/>
        </w:rPr>
      </w:pPr>
      <w:r>
        <w:rPr>
          <w:b/>
          <w:szCs w:val="24"/>
        </w:rPr>
        <w:t>I</w:t>
      </w:r>
      <w:r w:rsidR="00CE58F0" w:rsidRPr="00166665">
        <w:rPr>
          <w:b/>
          <w:szCs w:val="24"/>
        </w:rPr>
        <w:t>nvestment income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7A07AD" w:rsidRDefault="00CE58F0" w:rsidP="00413B8D">
            <w:pPr>
              <w:rPr>
                <w:szCs w:val="24"/>
              </w:rPr>
            </w:pPr>
            <w:r>
              <w:rPr>
                <w:szCs w:val="24"/>
              </w:rPr>
              <w:t>Fixed interest securities</w:t>
            </w:r>
          </w:p>
        </w:tc>
        <w:tc>
          <w:tcPr>
            <w:tcW w:w="1559" w:type="dxa"/>
          </w:tcPr>
          <w:p w:rsidR="00CE58F0" w:rsidRPr="007A07AD" w:rsidRDefault="00CE58F0" w:rsidP="00413B8D">
            <w:pPr>
              <w:jc w:val="right"/>
              <w:rPr>
                <w:szCs w:val="24"/>
              </w:rPr>
            </w:pPr>
            <w:r>
              <w:rPr>
                <w:szCs w:val="24"/>
              </w:rPr>
              <w:t>31.5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21.5</w:t>
            </w:r>
          </w:p>
        </w:tc>
      </w:tr>
      <w:tr w:rsidR="00CE58F0" w:rsidRPr="007A07AD" w:rsidTr="00413B8D">
        <w:tc>
          <w:tcPr>
            <w:tcW w:w="5058" w:type="dxa"/>
          </w:tcPr>
          <w:p w:rsidR="00CE58F0" w:rsidRDefault="00CE58F0" w:rsidP="00413B8D">
            <w:pPr>
              <w:rPr>
                <w:szCs w:val="24"/>
              </w:rPr>
            </w:pPr>
            <w:r>
              <w:rPr>
                <w:szCs w:val="24"/>
              </w:rPr>
              <w:t>Equity dividends</w:t>
            </w:r>
          </w:p>
        </w:tc>
        <w:tc>
          <w:tcPr>
            <w:tcW w:w="1559" w:type="dxa"/>
          </w:tcPr>
          <w:p w:rsidR="00CE58F0" w:rsidRPr="007A07AD" w:rsidRDefault="00CE58F0" w:rsidP="00413B8D">
            <w:pPr>
              <w:jc w:val="right"/>
              <w:rPr>
                <w:szCs w:val="24"/>
              </w:rPr>
            </w:pPr>
            <w:r>
              <w:rPr>
                <w:szCs w:val="24"/>
              </w:rPr>
              <w:t>36.8</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59.5</w:t>
            </w:r>
          </w:p>
        </w:tc>
      </w:tr>
      <w:tr w:rsidR="00CE58F0" w:rsidRPr="007A07AD" w:rsidTr="00413B8D">
        <w:tc>
          <w:tcPr>
            <w:tcW w:w="5058" w:type="dxa"/>
          </w:tcPr>
          <w:p w:rsidR="00CE58F0" w:rsidRDefault="00CE58F0" w:rsidP="00413B8D">
            <w:pPr>
              <w:rPr>
                <w:szCs w:val="24"/>
              </w:rPr>
            </w:pPr>
            <w:r>
              <w:rPr>
                <w:szCs w:val="24"/>
              </w:rPr>
              <w:t>Index linked securities</w:t>
            </w:r>
          </w:p>
        </w:tc>
        <w:tc>
          <w:tcPr>
            <w:tcW w:w="1559" w:type="dxa"/>
          </w:tcPr>
          <w:p w:rsidR="00CE58F0" w:rsidRPr="007A07AD" w:rsidRDefault="00CE58F0" w:rsidP="00413B8D">
            <w:pPr>
              <w:jc w:val="right"/>
              <w:rPr>
                <w:szCs w:val="24"/>
              </w:rPr>
            </w:pPr>
            <w:r>
              <w:rPr>
                <w:szCs w:val="24"/>
              </w:rPr>
              <w:t>1.6</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1.2</w:t>
            </w:r>
          </w:p>
        </w:tc>
      </w:tr>
      <w:tr w:rsidR="00CE58F0" w:rsidRPr="007A07AD" w:rsidTr="00413B8D">
        <w:tc>
          <w:tcPr>
            <w:tcW w:w="5058" w:type="dxa"/>
          </w:tcPr>
          <w:p w:rsidR="00CE58F0" w:rsidRDefault="00CE58F0" w:rsidP="00413B8D">
            <w:pPr>
              <w:rPr>
                <w:szCs w:val="24"/>
              </w:rPr>
            </w:pPr>
            <w:r>
              <w:rPr>
                <w:szCs w:val="24"/>
              </w:rPr>
              <w:t>Pooled investment vehicles</w:t>
            </w:r>
          </w:p>
        </w:tc>
        <w:tc>
          <w:tcPr>
            <w:tcW w:w="1559" w:type="dxa"/>
          </w:tcPr>
          <w:p w:rsidR="00CE58F0" w:rsidRPr="007A07AD" w:rsidRDefault="00CE58F0" w:rsidP="00413B8D">
            <w:pPr>
              <w:jc w:val="right"/>
              <w:rPr>
                <w:szCs w:val="24"/>
              </w:rPr>
            </w:pPr>
            <w:r>
              <w:rPr>
                <w:szCs w:val="24"/>
              </w:rPr>
              <w:t>6.4</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6.3</w:t>
            </w:r>
          </w:p>
        </w:tc>
      </w:tr>
      <w:tr w:rsidR="00CE58F0" w:rsidRPr="007A07AD" w:rsidTr="00413B8D">
        <w:tc>
          <w:tcPr>
            <w:tcW w:w="5058" w:type="dxa"/>
          </w:tcPr>
          <w:p w:rsidR="00CE58F0" w:rsidRDefault="00CE58F0" w:rsidP="00413B8D">
            <w:pPr>
              <w:rPr>
                <w:szCs w:val="24"/>
              </w:rPr>
            </w:pPr>
            <w:r>
              <w:rPr>
                <w:szCs w:val="24"/>
              </w:rPr>
              <w:t>Net rents from properties</w:t>
            </w:r>
          </w:p>
        </w:tc>
        <w:tc>
          <w:tcPr>
            <w:tcW w:w="1559" w:type="dxa"/>
          </w:tcPr>
          <w:p w:rsidR="00CE58F0" w:rsidRPr="007A07AD" w:rsidRDefault="00CE58F0" w:rsidP="00413B8D">
            <w:pPr>
              <w:jc w:val="right"/>
              <w:rPr>
                <w:szCs w:val="24"/>
              </w:rPr>
            </w:pPr>
            <w:r>
              <w:rPr>
                <w:szCs w:val="24"/>
              </w:rPr>
              <w:t>23.5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25.0</w:t>
            </w:r>
          </w:p>
        </w:tc>
      </w:tr>
      <w:tr w:rsidR="00CE58F0" w:rsidRPr="007A07AD" w:rsidTr="00413B8D">
        <w:tc>
          <w:tcPr>
            <w:tcW w:w="5058" w:type="dxa"/>
          </w:tcPr>
          <w:p w:rsidR="00CE58F0" w:rsidRDefault="00CE58F0" w:rsidP="00413B8D">
            <w:pPr>
              <w:rPr>
                <w:szCs w:val="24"/>
              </w:rPr>
            </w:pPr>
            <w:r>
              <w:rPr>
                <w:szCs w:val="24"/>
              </w:rPr>
              <w:t>Interest on cash deposits</w:t>
            </w:r>
          </w:p>
        </w:tc>
        <w:tc>
          <w:tcPr>
            <w:tcW w:w="1559" w:type="dxa"/>
          </w:tcPr>
          <w:p w:rsidR="00CE58F0" w:rsidRPr="007A07AD" w:rsidRDefault="00CE58F0" w:rsidP="00413B8D">
            <w:pPr>
              <w:jc w:val="right"/>
              <w:rPr>
                <w:szCs w:val="24"/>
              </w:rPr>
            </w:pPr>
            <w:r>
              <w:rPr>
                <w:szCs w:val="24"/>
              </w:rPr>
              <w:t>3.2</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2.8</w:t>
            </w:r>
          </w:p>
        </w:tc>
      </w:tr>
      <w:tr w:rsidR="00CE58F0" w:rsidRPr="007A07AD" w:rsidTr="00413B8D">
        <w:tc>
          <w:tcPr>
            <w:tcW w:w="5058" w:type="dxa"/>
          </w:tcPr>
          <w:p w:rsidR="00CE58F0" w:rsidRDefault="00CE58F0" w:rsidP="00413B8D">
            <w:pPr>
              <w:rPr>
                <w:szCs w:val="24"/>
              </w:rPr>
            </w:pPr>
            <w:r>
              <w:rPr>
                <w:szCs w:val="24"/>
              </w:rPr>
              <w:t>Other</w:t>
            </w:r>
          </w:p>
        </w:tc>
        <w:tc>
          <w:tcPr>
            <w:tcW w:w="1559" w:type="dxa"/>
            <w:tcBorders>
              <w:bottom w:val="single" w:sz="18" w:space="0" w:color="auto"/>
            </w:tcBorders>
          </w:tcPr>
          <w:p w:rsidR="00CE58F0" w:rsidRPr="007A07AD" w:rsidRDefault="00CE58F0" w:rsidP="00413B8D">
            <w:pPr>
              <w:jc w:val="right"/>
              <w:rPr>
                <w:szCs w:val="24"/>
              </w:rPr>
            </w:pPr>
            <w:r>
              <w:rPr>
                <w:szCs w:val="24"/>
              </w:rPr>
              <w:t>2.3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4.5</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F65484" w:rsidRDefault="00CE58F0" w:rsidP="00413B8D">
            <w:pPr>
              <w:jc w:val="right"/>
              <w:rPr>
                <w:szCs w:val="24"/>
              </w:rPr>
            </w:pPr>
            <w:r w:rsidRPr="00F65484">
              <w:rPr>
                <w:szCs w:val="24"/>
              </w:rPr>
              <w:t>105.3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Default="00CE58F0" w:rsidP="00413B8D">
            <w:pPr>
              <w:jc w:val="right"/>
              <w:rPr>
                <w:szCs w:val="24"/>
              </w:rPr>
            </w:pPr>
            <w:r>
              <w:rPr>
                <w:szCs w:val="24"/>
              </w:rPr>
              <w:t>120.8</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nil"/>
            </w:tcBorders>
          </w:tcPr>
          <w:p w:rsidR="00CE58F0" w:rsidRPr="00F65484"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nil"/>
            </w:tcBorders>
          </w:tcPr>
          <w:p w:rsidR="00CE58F0" w:rsidRDefault="00CE58F0" w:rsidP="00413B8D">
            <w:pPr>
              <w:jc w:val="right"/>
              <w:rPr>
                <w:szCs w:val="24"/>
              </w:rPr>
            </w:pPr>
          </w:p>
        </w:tc>
      </w:tr>
    </w:tbl>
    <w:p w:rsidR="00CE58F0" w:rsidRDefault="00CE58F0" w:rsidP="00CE58F0">
      <w:pPr>
        <w:ind w:firstLine="709"/>
        <w:rPr>
          <w:b/>
          <w:sz w:val="22"/>
          <w:szCs w:val="22"/>
        </w:rPr>
      </w:pPr>
    </w:p>
    <w:p w:rsidR="00CE58F0" w:rsidRPr="00661385" w:rsidRDefault="00CE58F0" w:rsidP="00CE58F0">
      <w:pPr>
        <w:pStyle w:val="BodyTextIndent"/>
        <w:numPr>
          <w:ilvl w:val="0"/>
          <w:numId w:val="2"/>
        </w:numPr>
        <w:tabs>
          <w:tab w:val="clear" w:pos="720"/>
          <w:tab w:val="clear" w:pos="1080"/>
          <w:tab w:val="num" w:pos="862"/>
        </w:tabs>
        <w:spacing w:after="0"/>
        <w:ind w:left="862"/>
        <w:rPr>
          <w:b/>
          <w:szCs w:val="24"/>
        </w:rPr>
      </w:pPr>
      <w:r w:rsidRPr="00661385">
        <w:rPr>
          <w:b/>
          <w:szCs w:val="24"/>
        </w:rPr>
        <w:t>Net rents from Properties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7A07AD" w:rsidRDefault="00CE58F0" w:rsidP="00413B8D">
            <w:pPr>
              <w:rPr>
                <w:szCs w:val="24"/>
              </w:rPr>
            </w:pPr>
            <w:r>
              <w:rPr>
                <w:szCs w:val="24"/>
              </w:rPr>
              <w:t>Rental Income</w:t>
            </w:r>
          </w:p>
        </w:tc>
        <w:tc>
          <w:tcPr>
            <w:tcW w:w="1559" w:type="dxa"/>
          </w:tcPr>
          <w:p w:rsidR="00CE58F0" w:rsidRPr="007A07AD" w:rsidRDefault="00CE58F0" w:rsidP="00413B8D">
            <w:pPr>
              <w:jc w:val="right"/>
              <w:rPr>
                <w:szCs w:val="24"/>
              </w:rPr>
            </w:pPr>
            <w:r>
              <w:rPr>
                <w:szCs w:val="24"/>
              </w:rPr>
              <w:t>27.4</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28.1</w:t>
            </w:r>
          </w:p>
        </w:tc>
      </w:tr>
      <w:tr w:rsidR="00CE58F0" w:rsidRPr="007A07AD" w:rsidTr="00413B8D">
        <w:tc>
          <w:tcPr>
            <w:tcW w:w="5058" w:type="dxa"/>
          </w:tcPr>
          <w:p w:rsidR="00CE58F0" w:rsidRDefault="00CE58F0" w:rsidP="00413B8D">
            <w:pPr>
              <w:rPr>
                <w:szCs w:val="24"/>
              </w:rPr>
            </w:pPr>
            <w:r>
              <w:rPr>
                <w:szCs w:val="24"/>
              </w:rPr>
              <w:t>Direct operating expenses</w:t>
            </w:r>
          </w:p>
        </w:tc>
        <w:tc>
          <w:tcPr>
            <w:tcW w:w="1559" w:type="dxa"/>
            <w:tcBorders>
              <w:bottom w:val="single" w:sz="18" w:space="0" w:color="auto"/>
            </w:tcBorders>
          </w:tcPr>
          <w:p w:rsidR="00CE58F0" w:rsidRPr="007A07AD" w:rsidRDefault="00CE58F0" w:rsidP="00413B8D">
            <w:pPr>
              <w:jc w:val="right"/>
              <w:rPr>
                <w:szCs w:val="24"/>
              </w:rPr>
            </w:pPr>
            <w:r>
              <w:rPr>
                <w:szCs w:val="24"/>
              </w:rPr>
              <w:t>(3.9)</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(3.1)</w:t>
            </w:r>
          </w:p>
        </w:tc>
      </w:tr>
      <w:tr w:rsidR="00CE58F0" w:rsidRPr="007A07AD" w:rsidTr="00413B8D">
        <w:tc>
          <w:tcPr>
            <w:tcW w:w="5058" w:type="dxa"/>
          </w:tcPr>
          <w:p w:rsidR="00CE58F0" w:rsidRDefault="00CE58F0" w:rsidP="00413B8D">
            <w:pPr>
              <w:rPr>
                <w:szCs w:val="24"/>
              </w:rPr>
            </w:pPr>
            <w:r>
              <w:rPr>
                <w:szCs w:val="24"/>
              </w:rPr>
              <w:t>Net income</w:t>
            </w: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23.5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25.0</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nil"/>
            </w:tcBorders>
          </w:tcPr>
          <w:p w:rsidR="00CE58F0"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nil"/>
            </w:tcBorders>
          </w:tcPr>
          <w:p w:rsidR="00CE58F0" w:rsidRDefault="00CE58F0" w:rsidP="00413B8D">
            <w:pPr>
              <w:jc w:val="right"/>
              <w:rPr>
                <w:szCs w:val="24"/>
              </w:rPr>
            </w:pPr>
          </w:p>
        </w:tc>
      </w:tr>
    </w:tbl>
    <w:p w:rsidR="00CE58F0" w:rsidRDefault="00CE58F0" w:rsidP="00CE58F0">
      <w:pPr>
        <w:pStyle w:val="BodyTextIndent"/>
        <w:tabs>
          <w:tab w:val="clear" w:pos="1080"/>
        </w:tabs>
        <w:spacing w:after="0"/>
        <w:rPr>
          <w:b/>
          <w:szCs w:val="24"/>
        </w:rPr>
      </w:pPr>
    </w:p>
    <w:p w:rsidR="00CE58F0" w:rsidRPr="00D81C00" w:rsidRDefault="00CE58F0" w:rsidP="00CE58F0">
      <w:pPr>
        <w:numPr>
          <w:ilvl w:val="0"/>
          <w:numId w:val="2"/>
        </w:numPr>
        <w:tabs>
          <w:tab w:val="clear" w:pos="720"/>
          <w:tab w:val="num" w:pos="862"/>
        </w:tabs>
        <w:spacing w:after="240"/>
        <w:ind w:left="862"/>
        <w:rPr>
          <w:szCs w:val="24"/>
        </w:rPr>
      </w:pPr>
      <w:r w:rsidRPr="00D81C00">
        <w:rPr>
          <w:b/>
          <w:szCs w:val="24"/>
        </w:rPr>
        <w:lastRenderedPageBreak/>
        <w:t>Stock Lending</w:t>
      </w:r>
    </w:p>
    <w:p w:rsidR="00CE58F0" w:rsidRPr="000E3E54" w:rsidRDefault="00CE58F0" w:rsidP="00CE58F0">
      <w:pPr>
        <w:pStyle w:val="BodyTextIndent"/>
        <w:ind w:left="709"/>
        <w:rPr>
          <w:szCs w:val="24"/>
        </w:rPr>
      </w:pPr>
      <w:r w:rsidRPr="00B6433E">
        <w:rPr>
          <w:szCs w:val="24"/>
        </w:rPr>
        <w:t xml:space="preserve">Northern Trust </w:t>
      </w:r>
      <w:r>
        <w:rPr>
          <w:szCs w:val="24"/>
        </w:rPr>
        <w:t>the Fund's custodian, are</w:t>
      </w:r>
      <w:r w:rsidRPr="00B6433E">
        <w:rPr>
          <w:szCs w:val="24"/>
        </w:rPr>
        <w:t xml:space="preserve"> authorised to release stock to a third party under stock lending arrangements up to the statutory limits for this activity.  Stock lending income generated in 201</w:t>
      </w:r>
      <w:r>
        <w:rPr>
          <w:szCs w:val="24"/>
        </w:rPr>
        <w:t>3</w:t>
      </w:r>
      <w:r w:rsidRPr="00B6433E">
        <w:rPr>
          <w:szCs w:val="24"/>
        </w:rPr>
        <w:t>/1</w:t>
      </w:r>
      <w:r>
        <w:rPr>
          <w:szCs w:val="24"/>
        </w:rPr>
        <w:t>4</w:t>
      </w:r>
      <w:r w:rsidRPr="00B6433E">
        <w:rPr>
          <w:szCs w:val="24"/>
        </w:rPr>
        <w:t xml:space="preserve"> was £</w:t>
      </w:r>
      <w:r>
        <w:rPr>
          <w:szCs w:val="24"/>
        </w:rPr>
        <w:t>1.2m</w:t>
      </w:r>
      <w:r w:rsidRPr="00B6433E">
        <w:rPr>
          <w:szCs w:val="24"/>
        </w:rPr>
        <w:t xml:space="preserve"> (201</w:t>
      </w:r>
      <w:r>
        <w:rPr>
          <w:szCs w:val="24"/>
        </w:rPr>
        <w:t>2</w:t>
      </w:r>
      <w:r w:rsidRPr="00B6433E">
        <w:rPr>
          <w:szCs w:val="24"/>
        </w:rPr>
        <w:t>/1</w:t>
      </w:r>
      <w:r>
        <w:rPr>
          <w:szCs w:val="24"/>
        </w:rPr>
        <w:t>3</w:t>
      </w:r>
      <w:r w:rsidRPr="00B6433E">
        <w:rPr>
          <w:szCs w:val="24"/>
        </w:rPr>
        <w:t xml:space="preserve"> £</w:t>
      </w:r>
      <w:r>
        <w:rPr>
          <w:szCs w:val="24"/>
        </w:rPr>
        <w:t>0.6m</w:t>
      </w:r>
      <w:r w:rsidRPr="00B6433E">
        <w:rPr>
          <w:szCs w:val="24"/>
        </w:rPr>
        <w:t>)</w:t>
      </w:r>
    </w:p>
    <w:p w:rsidR="00CE58F0" w:rsidRPr="00B6433E" w:rsidRDefault="00CE58F0" w:rsidP="00CE58F0">
      <w:pPr>
        <w:pStyle w:val="BodyTextIndent"/>
        <w:ind w:left="709"/>
        <w:rPr>
          <w:szCs w:val="24"/>
        </w:rPr>
      </w:pPr>
      <w:r w:rsidRPr="00B6433E">
        <w:rPr>
          <w:szCs w:val="24"/>
        </w:rPr>
        <w:t>Securities on loan at the 31</w:t>
      </w:r>
      <w:r w:rsidRPr="00B6433E">
        <w:rPr>
          <w:szCs w:val="24"/>
          <w:vertAlign w:val="superscript"/>
        </w:rPr>
        <w:t>st</w:t>
      </w:r>
      <w:r w:rsidRPr="00B6433E">
        <w:rPr>
          <w:szCs w:val="24"/>
        </w:rPr>
        <w:t xml:space="preserve"> March 201</w:t>
      </w:r>
      <w:r>
        <w:rPr>
          <w:szCs w:val="24"/>
        </w:rPr>
        <w:t>4</w:t>
      </w:r>
      <w:r w:rsidRPr="00B6433E">
        <w:rPr>
          <w:szCs w:val="24"/>
        </w:rPr>
        <w:t xml:space="preserve"> were £</w:t>
      </w:r>
      <w:r w:rsidRPr="00495E58">
        <w:rPr>
          <w:szCs w:val="24"/>
        </w:rPr>
        <w:t>131.7m</w:t>
      </w:r>
      <w:r w:rsidRPr="00B6433E">
        <w:rPr>
          <w:szCs w:val="24"/>
        </w:rPr>
        <w:t xml:space="preserve"> and are included in the net asset statement to reflect the scheme's continuing economic interest in the securities.  This consisted of £</w:t>
      </w:r>
      <w:r w:rsidRPr="00495E58">
        <w:rPr>
          <w:szCs w:val="24"/>
        </w:rPr>
        <w:t>129.9m</w:t>
      </w:r>
      <w:r w:rsidRPr="00B6433E">
        <w:rPr>
          <w:szCs w:val="24"/>
        </w:rPr>
        <w:t xml:space="preserve"> of </w:t>
      </w:r>
      <w:r w:rsidRPr="00D81C00">
        <w:rPr>
          <w:szCs w:val="24"/>
        </w:rPr>
        <w:t>equities</w:t>
      </w:r>
      <w:r w:rsidRPr="00B6433E">
        <w:rPr>
          <w:szCs w:val="24"/>
        </w:rPr>
        <w:t xml:space="preserve"> and </w:t>
      </w:r>
      <w:r>
        <w:rPr>
          <w:szCs w:val="24"/>
        </w:rPr>
        <w:t>£</w:t>
      </w:r>
      <w:r w:rsidRPr="00495E58">
        <w:rPr>
          <w:szCs w:val="24"/>
        </w:rPr>
        <w:t>1.8m</w:t>
      </w:r>
      <w:r w:rsidRPr="00B6433E">
        <w:rPr>
          <w:szCs w:val="24"/>
        </w:rPr>
        <w:t xml:space="preserve"> of </w:t>
      </w:r>
      <w:r w:rsidRPr="00D81C00">
        <w:rPr>
          <w:szCs w:val="24"/>
        </w:rPr>
        <w:t>bonds</w:t>
      </w:r>
      <w:r w:rsidRPr="00B6433E">
        <w:rPr>
          <w:szCs w:val="24"/>
        </w:rPr>
        <w:t>.</w:t>
      </w:r>
    </w:p>
    <w:p w:rsidR="00CE58F0" w:rsidRDefault="00CE58F0" w:rsidP="00CE58F0">
      <w:pPr>
        <w:pStyle w:val="BodyTextIndent"/>
        <w:ind w:left="709"/>
        <w:rPr>
          <w:szCs w:val="24"/>
        </w:rPr>
      </w:pPr>
      <w:r w:rsidRPr="00B6433E">
        <w:rPr>
          <w:szCs w:val="24"/>
        </w:rPr>
        <w:t xml:space="preserve">Collateral is marked to market, and adjusted daily. </w:t>
      </w:r>
      <w:r>
        <w:rPr>
          <w:szCs w:val="24"/>
        </w:rPr>
        <w:t xml:space="preserve">Additional collateral of between 2% and 5% is requested as an additional measure of industry standard practice to mitigate risk. </w:t>
      </w:r>
      <w:r w:rsidRPr="00B6433E">
        <w:rPr>
          <w:szCs w:val="24"/>
        </w:rPr>
        <w:t xml:space="preserve">As the Fund has </w:t>
      </w:r>
      <w:r>
        <w:rPr>
          <w:szCs w:val="24"/>
        </w:rPr>
        <w:t>an</w:t>
      </w:r>
      <w:r w:rsidRPr="00B6433E">
        <w:rPr>
          <w:szCs w:val="24"/>
        </w:rPr>
        <w:t xml:space="preserve"> obligation to return the collateral to the borrowers, collateral is excluded from the Fund valuation. The collateral is non cash and totalled £</w:t>
      </w:r>
      <w:r w:rsidRPr="00495E58">
        <w:rPr>
          <w:szCs w:val="24"/>
        </w:rPr>
        <w:t>139.8m</w:t>
      </w:r>
      <w:r w:rsidRPr="00B6433E">
        <w:rPr>
          <w:szCs w:val="24"/>
        </w:rPr>
        <w:t xml:space="preserve"> of </w:t>
      </w:r>
      <w:r w:rsidRPr="00D81C00">
        <w:rPr>
          <w:szCs w:val="24"/>
        </w:rPr>
        <w:t>government bonds</w:t>
      </w:r>
      <w:r w:rsidRPr="00B6433E">
        <w:rPr>
          <w:szCs w:val="24"/>
        </w:rPr>
        <w:t>.</w:t>
      </w:r>
    </w:p>
    <w:p w:rsidR="00783C33" w:rsidRDefault="00783C33" w:rsidP="00CE58F0">
      <w:pPr>
        <w:pStyle w:val="BodyTextIndent"/>
        <w:ind w:left="709"/>
        <w:rPr>
          <w:szCs w:val="24"/>
        </w:rPr>
      </w:pPr>
    </w:p>
    <w:p w:rsidR="00CE58F0" w:rsidRDefault="00CE58F0" w:rsidP="00CE58F0">
      <w:pPr>
        <w:pStyle w:val="BodyTextIndent"/>
        <w:ind w:left="709"/>
        <w:rPr>
          <w:szCs w:val="24"/>
        </w:rPr>
      </w:pPr>
    </w:p>
    <w:p w:rsidR="00CE58F0" w:rsidRPr="009D3DE3" w:rsidRDefault="00CE58F0" w:rsidP="00CE58F0">
      <w:pPr>
        <w:pStyle w:val="ListParagraph"/>
        <w:numPr>
          <w:ilvl w:val="0"/>
          <w:numId w:val="2"/>
        </w:numPr>
        <w:tabs>
          <w:tab w:val="clear" w:pos="720"/>
          <w:tab w:val="num" w:pos="862"/>
        </w:tabs>
        <w:spacing w:after="120"/>
        <w:ind w:left="862"/>
        <w:rPr>
          <w:b/>
        </w:rPr>
      </w:pPr>
      <w:r w:rsidRPr="009D3DE3">
        <w:rPr>
          <w:b/>
        </w:rPr>
        <w:t>Reconciliation of movements in investments and derivatives</w:t>
      </w:r>
    </w:p>
    <w:tbl>
      <w:tblPr>
        <w:tblStyle w:val="TableGrid"/>
        <w:tblW w:w="1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
        <w:gridCol w:w="771"/>
        <w:gridCol w:w="937"/>
        <w:gridCol w:w="65"/>
        <w:gridCol w:w="363"/>
        <w:gridCol w:w="1249"/>
        <w:gridCol w:w="168"/>
        <w:gridCol w:w="6"/>
        <w:gridCol w:w="1675"/>
        <w:gridCol w:w="99"/>
        <w:gridCol w:w="789"/>
        <w:gridCol w:w="854"/>
        <w:gridCol w:w="138"/>
        <w:gridCol w:w="706"/>
        <w:gridCol w:w="820"/>
        <w:gridCol w:w="39"/>
      </w:tblGrid>
      <w:tr w:rsidR="00CE58F0" w:rsidRPr="00424746" w:rsidTr="00413B8D">
        <w:trPr>
          <w:trHeight w:val="949"/>
        </w:trPr>
        <w:tc>
          <w:tcPr>
            <w:tcW w:w="2383" w:type="dxa"/>
            <w:gridSpan w:val="2"/>
          </w:tcPr>
          <w:p w:rsidR="00CE58F0" w:rsidRPr="00424746" w:rsidRDefault="00CE58F0" w:rsidP="00413B8D">
            <w:pPr>
              <w:rPr>
                <w:b/>
                <w:sz w:val="20"/>
              </w:rPr>
            </w:pPr>
          </w:p>
        </w:tc>
        <w:tc>
          <w:tcPr>
            <w:tcW w:w="1708" w:type="dxa"/>
            <w:gridSpan w:val="2"/>
          </w:tcPr>
          <w:p w:rsidR="00CE58F0" w:rsidRPr="00424746" w:rsidRDefault="00CE58F0" w:rsidP="00413B8D">
            <w:pPr>
              <w:jc w:val="right"/>
              <w:rPr>
                <w:b/>
                <w:sz w:val="20"/>
              </w:rPr>
            </w:pPr>
            <w:r w:rsidRPr="00424746">
              <w:rPr>
                <w:b/>
                <w:sz w:val="20"/>
              </w:rPr>
              <w:t>Market Value at 1 April 2013</w:t>
            </w:r>
          </w:p>
        </w:tc>
        <w:tc>
          <w:tcPr>
            <w:tcW w:w="1851" w:type="dxa"/>
            <w:gridSpan w:val="5"/>
          </w:tcPr>
          <w:p w:rsidR="00CE58F0" w:rsidRPr="00424746" w:rsidRDefault="00CE58F0" w:rsidP="00413B8D">
            <w:pPr>
              <w:jc w:val="right"/>
              <w:rPr>
                <w:b/>
                <w:sz w:val="20"/>
              </w:rPr>
            </w:pPr>
            <w:r w:rsidRPr="00424746">
              <w:rPr>
                <w:b/>
                <w:sz w:val="20"/>
              </w:rPr>
              <w:t>Purchases at cost and derivative payments</w:t>
            </w:r>
          </w:p>
        </w:tc>
        <w:tc>
          <w:tcPr>
            <w:tcW w:w="1675" w:type="dxa"/>
          </w:tcPr>
          <w:p w:rsidR="00CE58F0" w:rsidRPr="00424746" w:rsidRDefault="00CE58F0" w:rsidP="00413B8D">
            <w:pPr>
              <w:jc w:val="right"/>
              <w:rPr>
                <w:b/>
                <w:sz w:val="20"/>
              </w:rPr>
            </w:pPr>
            <w:r w:rsidRPr="00424746">
              <w:rPr>
                <w:b/>
                <w:sz w:val="20"/>
              </w:rPr>
              <w:t>Sales proceeds and derivative receipts</w:t>
            </w:r>
          </w:p>
        </w:tc>
        <w:tc>
          <w:tcPr>
            <w:tcW w:w="1742" w:type="dxa"/>
            <w:gridSpan w:val="3"/>
          </w:tcPr>
          <w:p w:rsidR="00CE58F0" w:rsidRPr="00424746" w:rsidRDefault="00CE58F0" w:rsidP="00413B8D">
            <w:pPr>
              <w:jc w:val="right"/>
              <w:rPr>
                <w:b/>
                <w:sz w:val="20"/>
              </w:rPr>
            </w:pPr>
            <w:r w:rsidRPr="00424746">
              <w:rPr>
                <w:b/>
                <w:sz w:val="20"/>
              </w:rPr>
              <w:t>Change in market</w:t>
            </w:r>
          </w:p>
          <w:p w:rsidR="00CE58F0" w:rsidRPr="00424746" w:rsidRDefault="00CE58F0" w:rsidP="00413B8D">
            <w:pPr>
              <w:jc w:val="right"/>
              <w:rPr>
                <w:b/>
                <w:sz w:val="20"/>
              </w:rPr>
            </w:pPr>
            <w:r w:rsidRPr="00424746">
              <w:rPr>
                <w:b/>
                <w:sz w:val="20"/>
              </w:rPr>
              <w:t xml:space="preserve"> value</w:t>
            </w:r>
          </w:p>
        </w:tc>
        <w:tc>
          <w:tcPr>
            <w:tcW w:w="1703" w:type="dxa"/>
            <w:gridSpan w:val="4"/>
          </w:tcPr>
          <w:p w:rsidR="00CE58F0" w:rsidRPr="00424746" w:rsidRDefault="00CE58F0" w:rsidP="00413B8D">
            <w:pPr>
              <w:jc w:val="right"/>
              <w:rPr>
                <w:b/>
                <w:sz w:val="20"/>
              </w:rPr>
            </w:pPr>
            <w:r w:rsidRPr="00424746">
              <w:rPr>
                <w:b/>
                <w:sz w:val="20"/>
              </w:rPr>
              <w:t xml:space="preserve">Market value at 31 March </w:t>
            </w:r>
          </w:p>
          <w:p w:rsidR="00CE58F0" w:rsidRPr="00424746" w:rsidRDefault="00CE58F0" w:rsidP="00413B8D">
            <w:pPr>
              <w:jc w:val="right"/>
              <w:rPr>
                <w:b/>
                <w:sz w:val="20"/>
              </w:rPr>
            </w:pPr>
            <w:r w:rsidRPr="00424746">
              <w:rPr>
                <w:b/>
                <w:sz w:val="20"/>
              </w:rPr>
              <w:t>2014</w:t>
            </w:r>
          </w:p>
        </w:tc>
      </w:tr>
      <w:tr w:rsidR="00CE58F0" w:rsidRPr="00424746" w:rsidTr="00413B8D">
        <w:trPr>
          <w:trHeight w:val="234"/>
        </w:trPr>
        <w:tc>
          <w:tcPr>
            <w:tcW w:w="2383" w:type="dxa"/>
            <w:gridSpan w:val="2"/>
          </w:tcPr>
          <w:p w:rsidR="00CE58F0" w:rsidRPr="00424746" w:rsidRDefault="00CE58F0" w:rsidP="00413B8D">
            <w:pPr>
              <w:rPr>
                <w:b/>
                <w:sz w:val="20"/>
              </w:rPr>
            </w:pPr>
          </w:p>
        </w:tc>
        <w:tc>
          <w:tcPr>
            <w:tcW w:w="771" w:type="dxa"/>
            <w:tcBorders>
              <w:right w:val="single" w:sz="18" w:space="0" w:color="FFFFFF" w:themeColor="background1"/>
            </w:tcBorders>
          </w:tcPr>
          <w:p w:rsidR="00CE58F0" w:rsidRPr="00424746" w:rsidRDefault="00CE58F0" w:rsidP="00413B8D">
            <w:pPr>
              <w:jc w:val="right"/>
              <w:rPr>
                <w:b/>
                <w:sz w:val="20"/>
              </w:rPr>
            </w:pPr>
          </w:p>
        </w:tc>
        <w:tc>
          <w:tcPr>
            <w:tcW w:w="937" w:type="dxa"/>
            <w:tcBorders>
              <w:left w:val="single" w:sz="18" w:space="0" w:color="FFFFFF" w:themeColor="background1"/>
            </w:tcBorders>
          </w:tcPr>
          <w:p w:rsidR="00CE58F0" w:rsidRPr="00424746" w:rsidRDefault="00CE58F0" w:rsidP="00413B8D">
            <w:pPr>
              <w:jc w:val="right"/>
              <w:rPr>
                <w:b/>
                <w:sz w:val="20"/>
              </w:rPr>
            </w:pPr>
            <w:r w:rsidRPr="00424746">
              <w:rPr>
                <w:b/>
                <w:sz w:val="20"/>
              </w:rPr>
              <w:t>£m</w:t>
            </w:r>
          </w:p>
        </w:tc>
        <w:tc>
          <w:tcPr>
            <w:tcW w:w="428" w:type="dxa"/>
            <w:gridSpan w:val="2"/>
            <w:tcBorders>
              <w:right w:val="single" w:sz="18" w:space="0" w:color="FFFFFF" w:themeColor="background1"/>
            </w:tcBorders>
          </w:tcPr>
          <w:p w:rsidR="00CE58F0" w:rsidRPr="00424746" w:rsidRDefault="00CE58F0" w:rsidP="00413B8D">
            <w:pPr>
              <w:jc w:val="right"/>
              <w:rPr>
                <w:b/>
                <w:sz w:val="20"/>
              </w:rPr>
            </w:pPr>
          </w:p>
        </w:tc>
        <w:tc>
          <w:tcPr>
            <w:tcW w:w="1423" w:type="dxa"/>
            <w:gridSpan w:val="3"/>
            <w:tcBorders>
              <w:left w:val="single" w:sz="18" w:space="0" w:color="FFFFFF" w:themeColor="background1"/>
            </w:tcBorders>
          </w:tcPr>
          <w:p w:rsidR="00CE58F0" w:rsidRPr="00424746" w:rsidRDefault="00CE58F0" w:rsidP="00413B8D">
            <w:pPr>
              <w:jc w:val="right"/>
              <w:rPr>
                <w:b/>
                <w:sz w:val="20"/>
              </w:rPr>
            </w:pPr>
            <w:r w:rsidRPr="00424746">
              <w:rPr>
                <w:b/>
                <w:sz w:val="20"/>
              </w:rPr>
              <w:t>£m</w:t>
            </w:r>
          </w:p>
        </w:tc>
        <w:tc>
          <w:tcPr>
            <w:tcW w:w="1675" w:type="dxa"/>
          </w:tcPr>
          <w:p w:rsidR="00CE58F0" w:rsidRPr="00424746" w:rsidRDefault="00CE58F0" w:rsidP="00413B8D">
            <w:pPr>
              <w:jc w:val="right"/>
              <w:rPr>
                <w:b/>
                <w:sz w:val="20"/>
              </w:rPr>
            </w:pPr>
            <w:r w:rsidRPr="00424746">
              <w:rPr>
                <w:b/>
                <w:sz w:val="20"/>
              </w:rPr>
              <w:t>£m</w:t>
            </w:r>
          </w:p>
        </w:tc>
        <w:tc>
          <w:tcPr>
            <w:tcW w:w="1742" w:type="dxa"/>
            <w:gridSpan w:val="3"/>
          </w:tcPr>
          <w:p w:rsidR="00CE58F0" w:rsidRPr="00424746" w:rsidRDefault="00CE58F0" w:rsidP="00413B8D">
            <w:pPr>
              <w:jc w:val="right"/>
              <w:rPr>
                <w:b/>
                <w:sz w:val="20"/>
              </w:rPr>
            </w:pPr>
            <w:r w:rsidRPr="00424746">
              <w:rPr>
                <w:b/>
                <w:sz w:val="20"/>
              </w:rPr>
              <w:t>£m</w:t>
            </w:r>
          </w:p>
        </w:tc>
        <w:tc>
          <w:tcPr>
            <w:tcW w:w="1703" w:type="dxa"/>
            <w:gridSpan w:val="4"/>
          </w:tcPr>
          <w:p w:rsidR="00CE58F0" w:rsidRPr="00424746" w:rsidRDefault="00CE58F0" w:rsidP="00413B8D">
            <w:pPr>
              <w:jc w:val="right"/>
              <w:rPr>
                <w:b/>
                <w:sz w:val="20"/>
              </w:rPr>
            </w:pPr>
            <w:r w:rsidRPr="00424746">
              <w:rPr>
                <w:b/>
                <w:sz w:val="20"/>
              </w:rPr>
              <w:t>£m</w:t>
            </w:r>
          </w:p>
        </w:tc>
      </w:tr>
      <w:tr w:rsidR="00CE58F0" w:rsidRPr="00424746" w:rsidTr="00413B8D">
        <w:trPr>
          <w:trHeight w:val="234"/>
        </w:trPr>
        <w:tc>
          <w:tcPr>
            <w:tcW w:w="2383" w:type="dxa"/>
            <w:gridSpan w:val="2"/>
          </w:tcPr>
          <w:p w:rsidR="00CE58F0" w:rsidRPr="00424746" w:rsidRDefault="00CE58F0" w:rsidP="00413B8D">
            <w:pPr>
              <w:rPr>
                <w:sz w:val="20"/>
              </w:rPr>
            </w:pPr>
            <w:r w:rsidRPr="00424746">
              <w:rPr>
                <w:sz w:val="20"/>
              </w:rPr>
              <w:t>Fixed  interest securities</w:t>
            </w:r>
          </w:p>
        </w:tc>
        <w:tc>
          <w:tcPr>
            <w:tcW w:w="771" w:type="dxa"/>
            <w:tcBorders>
              <w:right w:val="single" w:sz="18" w:space="0" w:color="FFFFFF" w:themeColor="background1"/>
            </w:tcBorders>
          </w:tcPr>
          <w:p w:rsidR="00CE58F0" w:rsidRPr="00424746" w:rsidRDefault="00CE58F0" w:rsidP="00413B8D">
            <w:pPr>
              <w:jc w:val="right"/>
              <w:rPr>
                <w:sz w:val="20"/>
              </w:rPr>
            </w:pPr>
          </w:p>
        </w:tc>
        <w:tc>
          <w:tcPr>
            <w:tcW w:w="937" w:type="dxa"/>
            <w:tcBorders>
              <w:left w:val="single" w:sz="18" w:space="0" w:color="FFFFFF" w:themeColor="background1"/>
            </w:tcBorders>
          </w:tcPr>
          <w:p w:rsidR="00CE58F0" w:rsidRPr="00424746" w:rsidRDefault="00CE58F0" w:rsidP="00413B8D">
            <w:pPr>
              <w:jc w:val="right"/>
              <w:rPr>
                <w:sz w:val="20"/>
              </w:rPr>
            </w:pPr>
            <w:r w:rsidRPr="00424746">
              <w:rPr>
                <w:sz w:val="20"/>
              </w:rPr>
              <w:t>843.6</w:t>
            </w:r>
          </w:p>
        </w:tc>
        <w:tc>
          <w:tcPr>
            <w:tcW w:w="428" w:type="dxa"/>
            <w:gridSpan w:val="2"/>
            <w:tcBorders>
              <w:right w:val="single" w:sz="18" w:space="0" w:color="FFFFFF" w:themeColor="background1"/>
            </w:tcBorders>
          </w:tcPr>
          <w:p w:rsidR="00CE58F0" w:rsidRPr="00424746" w:rsidRDefault="00CE58F0" w:rsidP="00413B8D">
            <w:pPr>
              <w:jc w:val="right"/>
              <w:rPr>
                <w:sz w:val="20"/>
              </w:rPr>
            </w:pPr>
          </w:p>
        </w:tc>
        <w:tc>
          <w:tcPr>
            <w:tcW w:w="1249" w:type="dxa"/>
            <w:tcBorders>
              <w:left w:val="single" w:sz="18" w:space="0" w:color="FFFFFF" w:themeColor="background1"/>
            </w:tcBorders>
          </w:tcPr>
          <w:p w:rsidR="00CE58F0" w:rsidRPr="00424746" w:rsidRDefault="00CE58F0" w:rsidP="00413B8D">
            <w:pPr>
              <w:jc w:val="right"/>
              <w:rPr>
                <w:sz w:val="20"/>
              </w:rPr>
            </w:pPr>
            <w:r w:rsidRPr="00424746">
              <w:rPr>
                <w:sz w:val="20"/>
              </w:rPr>
              <w:t>190.2</w:t>
            </w:r>
          </w:p>
        </w:tc>
        <w:tc>
          <w:tcPr>
            <w:tcW w:w="1849" w:type="dxa"/>
            <w:gridSpan w:val="3"/>
          </w:tcPr>
          <w:p w:rsidR="00CE58F0" w:rsidRPr="00424746" w:rsidRDefault="00CE58F0" w:rsidP="00413B8D">
            <w:pPr>
              <w:jc w:val="right"/>
              <w:rPr>
                <w:sz w:val="20"/>
              </w:rPr>
            </w:pPr>
            <w:r w:rsidRPr="00424746">
              <w:rPr>
                <w:sz w:val="20"/>
              </w:rPr>
              <w:t>(765.9)</w:t>
            </w:r>
          </w:p>
        </w:tc>
        <w:tc>
          <w:tcPr>
            <w:tcW w:w="888" w:type="dxa"/>
            <w:gridSpan w:val="2"/>
            <w:tcBorders>
              <w:right w:val="single" w:sz="18" w:space="0" w:color="FFFFFF" w:themeColor="background1"/>
            </w:tcBorders>
          </w:tcPr>
          <w:p w:rsidR="00CE58F0" w:rsidRPr="00424746" w:rsidRDefault="00CE58F0" w:rsidP="00413B8D">
            <w:pPr>
              <w:jc w:val="center"/>
              <w:rPr>
                <w:sz w:val="20"/>
              </w:rPr>
            </w:pPr>
          </w:p>
        </w:tc>
        <w:tc>
          <w:tcPr>
            <w:tcW w:w="854" w:type="dxa"/>
            <w:tcBorders>
              <w:left w:val="single" w:sz="18" w:space="0" w:color="FFFFFF" w:themeColor="background1"/>
            </w:tcBorders>
          </w:tcPr>
          <w:p w:rsidR="00CE58F0" w:rsidRPr="00424746" w:rsidRDefault="00CE58F0" w:rsidP="00413B8D">
            <w:pPr>
              <w:jc w:val="right"/>
              <w:rPr>
                <w:sz w:val="20"/>
              </w:rPr>
            </w:pPr>
            <w:r w:rsidRPr="00424746">
              <w:rPr>
                <w:sz w:val="20"/>
              </w:rPr>
              <w:t>(34.9)</w:t>
            </w:r>
          </w:p>
        </w:tc>
        <w:tc>
          <w:tcPr>
            <w:tcW w:w="844" w:type="dxa"/>
            <w:gridSpan w:val="2"/>
            <w:tcBorders>
              <w:right w:val="single" w:sz="18" w:space="0" w:color="FFFFFF" w:themeColor="background1"/>
            </w:tcBorders>
          </w:tcPr>
          <w:p w:rsidR="00CE58F0" w:rsidRPr="00424746" w:rsidRDefault="00CE58F0" w:rsidP="00413B8D">
            <w:pPr>
              <w:jc w:val="right"/>
              <w:rPr>
                <w:sz w:val="20"/>
              </w:rPr>
            </w:pPr>
          </w:p>
        </w:tc>
        <w:tc>
          <w:tcPr>
            <w:tcW w:w="859" w:type="dxa"/>
            <w:gridSpan w:val="2"/>
            <w:tcBorders>
              <w:left w:val="single" w:sz="18" w:space="0" w:color="FFFFFF" w:themeColor="background1"/>
            </w:tcBorders>
          </w:tcPr>
          <w:p w:rsidR="00CE58F0" w:rsidRPr="00424746" w:rsidRDefault="00CE58F0" w:rsidP="00413B8D">
            <w:pPr>
              <w:jc w:val="right"/>
              <w:rPr>
                <w:sz w:val="20"/>
              </w:rPr>
            </w:pPr>
            <w:r w:rsidRPr="00424746">
              <w:rPr>
                <w:sz w:val="20"/>
              </w:rPr>
              <w:t>233.0</w:t>
            </w:r>
          </w:p>
        </w:tc>
      </w:tr>
      <w:tr w:rsidR="00CE58F0" w:rsidRPr="00424746" w:rsidTr="00413B8D">
        <w:trPr>
          <w:trHeight w:val="249"/>
        </w:trPr>
        <w:tc>
          <w:tcPr>
            <w:tcW w:w="2383" w:type="dxa"/>
            <w:gridSpan w:val="2"/>
          </w:tcPr>
          <w:p w:rsidR="00CE58F0" w:rsidRPr="00424746" w:rsidRDefault="00CE58F0" w:rsidP="00413B8D">
            <w:pPr>
              <w:rPr>
                <w:sz w:val="20"/>
              </w:rPr>
            </w:pPr>
            <w:r w:rsidRPr="00424746">
              <w:rPr>
                <w:sz w:val="20"/>
              </w:rPr>
              <w:t>Equities</w:t>
            </w:r>
          </w:p>
        </w:tc>
        <w:tc>
          <w:tcPr>
            <w:tcW w:w="771" w:type="dxa"/>
            <w:tcBorders>
              <w:right w:val="single" w:sz="18" w:space="0" w:color="FFFFFF" w:themeColor="background1"/>
            </w:tcBorders>
          </w:tcPr>
          <w:p w:rsidR="00CE58F0" w:rsidRPr="00424746" w:rsidRDefault="00CE58F0" w:rsidP="00413B8D">
            <w:pPr>
              <w:jc w:val="right"/>
              <w:rPr>
                <w:sz w:val="20"/>
              </w:rPr>
            </w:pPr>
          </w:p>
        </w:tc>
        <w:tc>
          <w:tcPr>
            <w:tcW w:w="937" w:type="dxa"/>
            <w:tcBorders>
              <w:left w:val="single" w:sz="18" w:space="0" w:color="FFFFFF" w:themeColor="background1"/>
            </w:tcBorders>
          </w:tcPr>
          <w:p w:rsidR="00CE58F0" w:rsidRPr="00424746" w:rsidRDefault="00CE58F0" w:rsidP="00413B8D">
            <w:pPr>
              <w:jc w:val="right"/>
              <w:rPr>
                <w:sz w:val="20"/>
              </w:rPr>
            </w:pPr>
            <w:r w:rsidRPr="00424746">
              <w:rPr>
                <w:sz w:val="20"/>
              </w:rPr>
              <w:t>1,749.3</w:t>
            </w:r>
          </w:p>
        </w:tc>
        <w:tc>
          <w:tcPr>
            <w:tcW w:w="428" w:type="dxa"/>
            <w:gridSpan w:val="2"/>
            <w:tcBorders>
              <w:right w:val="single" w:sz="18" w:space="0" w:color="FFFFFF" w:themeColor="background1"/>
            </w:tcBorders>
          </w:tcPr>
          <w:p w:rsidR="00CE58F0" w:rsidRPr="00424746" w:rsidRDefault="00CE58F0" w:rsidP="00413B8D">
            <w:pPr>
              <w:jc w:val="right"/>
              <w:rPr>
                <w:sz w:val="20"/>
              </w:rPr>
            </w:pPr>
          </w:p>
        </w:tc>
        <w:tc>
          <w:tcPr>
            <w:tcW w:w="1249" w:type="dxa"/>
            <w:tcBorders>
              <w:left w:val="single" w:sz="18" w:space="0" w:color="FFFFFF" w:themeColor="background1"/>
            </w:tcBorders>
          </w:tcPr>
          <w:p w:rsidR="00CE58F0" w:rsidRPr="00424746" w:rsidRDefault="00CE58F0" w:rsidP="00413B8D">
            <w:pPr>
              <w:jc w:val="right"/>
              <w:rPr>
                <w:sz w:val="20"/>
              </w:rPr>
            </w:pPr>
            <w:r w:rsidRPr="00424746">
              <w:rPr>
                <w:sz w:val="20"/>
              </w:rPr>
              <w:t>972.5</w:t>
            </w:r>
          </w:p>
        </w:tc>
        <w:tc>
          <w:tcPr>
            <w:tcW w:w="1849" w:type="dxa"/>
            <w:gridSpan w:val="3"/>
          </w:tcPr>
          <w:p w:rsidR="00CE58F0" w:rsidRPr="00424746" w:rsidRDefault="00CE58F0" w:rsidP="00413B8D">
            <w:pPr>
              <w:jc w:val="right"/>
              <w:rPr>
                <w:sz w:val="20"/>
              </w:rPr>
            </w:pPr>
            <w:r w:rsidRPr="00424746">
              <w:rPr>
                <w:sz w:val="20"/>
              </w:rPr>
              <w:t>(954.8)</w:t>
            </w:r>
          </w:p>
        </w:tc>
        <w:tc>
          <w:tcPr>
            <w:tcW w:w="888" w:type="dxa"/>
            <w:gridSpan w:val="2"/>
            <w:tcBorders>
              <w:right w:val="single" w:sz="18" w:space="0" w:color="FFFFFF" w:themeColor="background1"/>
            </w:tcBorders>
          </w:tcPr>
          <w:p w:rsidR="00CE58F0" w:rsidRPr="00424746" w:rsidRDefault="00CE58F0" w:rsidP="00413B8D">
            <w:pPr>
              <w:jc w:val="right"/>
              <w:rPr>
                <w:sz w:val="20"/>
              </w:rPr>
            </w:pPr>
          </w:p>
        </w:tc>
        <w:tc>
          <w:tcPr>
            <w:tcW w:w="854" w:type="dxa"/>
            <w:tcBorders>
              <w:left w:val="single" w:sz="18" w:space="0" w:color="FFFFFF" w:themeColor="background1"/>
            </w:tcBorders>
          </w:tcPr>
          <w:p w:rsidR="00CE58F0" w:rsidRPr="00424746" w:rsidRDefault="00CE58F0" w:rsidP="00413B8D">
            <w:pPr>
              <w:jc w:val="right"/>
              <w:rPr>
                <w:sz w:val="20"/>
              </w:rPr>
            </w:pPr>
            <w:r w:rsidRPr="00424746">
              <w:rPr>
                <w:sz w:val="20"/>
              </w:rPr>
              <w:t>154.1</w:t>
            </w:r>
          </w:p>
        </w:tc>
        <w:tc>
          <w:tcPr>
            <w:tcW w:w="1703" w:type="dxa"/>
            <w:gridSpan w:val="4"/>
          </w:tcPr>
          <w:p w:rsidR="00CE58F0" w:rsidRPr="00424746" w:rsidRDefault="00CE58F0" w:rsidP="00413B8D">
            <w:pPr>
              <w:jc w:val="right"/>
              <w:rPr>
                <w:sz w:val="20"/>
              </w:rPr>
            </w:pPr>
            <w:r w:rsidRPr="00424746">
              <w:rPr>
                <w:sz w:val="20"/>
              </w:rPr>
              <w:t>1,921.1</w:t>
            </w:r>
          </w:p>
        </w:tc>
      </w:tr>
      <w:tr w:rsidR="00CE58F0" w:rsidRPr="00424746" w:rsidTr="00413B8D">
        <w:trPr>
          <w:trHeight w:val="234"/>
        </w:trPr>
        <w:tc>
          <w:tcPr>
            <w:tcW w:w="2383" w:type="dxa"/>
            <w:gridSpan w:val="2"/>
          </w:tcPr>
          <w:p w:rsidR="00CE58F0" w:rsidRPr="00424746" w:rsidRDefault="00CE58F0" w:rsidP="00413B8D">
            <w:pPr>
              <w:rPr>
                <w:sz w:val="20"/>
              </w:rPr>
            </w:pPr>
            <w:r w:rsidRPr="00424746">
              <w:rPr>
                <w:sz w:val="20"/>
              </w:rPr>
              <w:t>Index linked securities</w:t>
            </w:r>
          </w:p>
        </w:tc>
        <w:tc>
          <w:tcPr>
            <w:tcW w:w="771" w:type="dxa"/>
            <w:tcBorders>
              <w:right w:val="single" w:sz="18" w:space="0" w:color="FFFFFF" w:themeColor="background1"/>
            </w:tcBorders>
          </w:tcPr>
          <w:p w:rsidR="00CE58F0" w:rsidRPr="00424746" w:rsidRDefault="00CE58F0" w:rsidP="00413B8D">
            <w:pPr>
              <w:jc w:val="right"/>
              <w:rPr>
                <w:sz w:val="20"/>
              </w:rPr>
            </w:pPr>
          </w:p>
        </w:tc>
        <w:tc>
          <w:tcPr>
            <w:tcW w:w="937" w:type="dxa"/>
            <w:tcBorders>
              <w:left w:val="single" w:sz="18" w:space="0" w:color="FFFFFF" w:themeColor="background1"/>
            </w:tcBorders>
          </w:tcPr>
          <w:p w:rsidR="00CE58F0" w:rsidRPr="00424746" w:rsidRDefault="00CE58F0" w:rsidP="00413B8D">
            <w:pPr>
              <w:jc w:val="right"/>
              <w:rPr>
                <w:sz w:val="20"/>
              </w:rPr>
            </w:pPr>
            <w:r w:rsidRPr="00424746">
              <w:rPr>
                <w:sz w:val="20"/>
              </w:rPr>
              <w:t>164.9</w:t>
            </w:r>
          </w:p>
        </w:tc>
        <w:tc>
          <w:tcPr>
            <w:tcW w:w="428" w:type="dxa"/>
            <w:gridSpan w:val="2"/>
            <w:tcBorders>
              <w:right w:val="single" w:sz="18" w:space="0" w:color="FFFFFF" w:themeColor="background1"/>
            </w:tcBorders>
          </w:tcPr>
          <w:p w:rsidR="00CE58F0" w:rsidRPr="00424746" w:rsidRDefault="00CE58F0" w:rsidP="00413B8D">
            <w:pPr>
              <w:jc w:val="right"/>
              <w:rPr>
                <w:sz w:val="20"/>
              </w:rPr>
            </w:pPr>
          </w:p>
        </w:tc>
        <w:tc>
          <w:tcPr>
            <w:tcW w:w="1249" w:type="dxa"/>
            <w:tcBorders>
              <w:left w:val="single" w:sz="18" w:space="0" w:color="FFFFFF" w:themeColor="background1"/>
            </w:tcBorders>
          </w:tcPr>
          <w:p w:rsidR="00CE58F0" w:rsidRPr="00424746" w:rsidRDefault="00CE58F0" w:rsidP="00413B8D">
            <w:pPr>
              <w:jc w:val="right"/>
              <w:rPr>
                <w:sz w:val="20"/>
              </w:rPr>
            </w:pPr>
            <w:r w:rsidRPr="00424746">
              <w:rPr>
                <w:sz w:val="20"/>
              </w:rPr>
              <w:t>92.9</w:t>
            </w:r>
          </w:p>
        </w:tc>
        <w:tc>
          <w:tcPr>
            <w:tcW w:w="1849" w:type="dxa"/>
            <w:gridSpan w:val="3"/>
          </w:tcPr>
          <w:p w:rsidR="00CE58F0" w:rsidRPr="00424746" w:rsidRDefault="00CE58F0" w:rsidP="00413B8D">
            <w:pPr>
              <w:jc w:val="right"/>
              <w:rPr>
                <w:sz w:val="20"/>
              </w:rPr>
            </w:pPr>
            <w:r w:rsidRPr="00424746">
              <w:rPr>
                <w:sz w:val="20"/>
              </w:rPr>
              <w:t>(248.5)</w:t>
            </w:r>
          </w:p>
        </w:tc>
        <w:tc>
          <w:tcPr>
            <w:tcW w:w="888" w:type="dxa"/>
            <w:gridSpan w:val="2"/>
            <w:tcBorders>
              <w:right w:val="single" w:sz="18" w:space="0" w:color="FFFFFF" w:themeColor="background1"/>
            </w:tcBorders>
          </w:tcPr>
          <w:p w:rsidR="00CE58F0" w:rsidRPr="00424746" w:rsidRDefault="00CE58F0" w:rsidP="00413B8D">
            <w:pPr>
              <w:jc w:val="right"/>
              <w:rPr>
                <w:sz w:val="20"/>
              </w:rPr>
            </w:pPr>
          </w:p>
        </w:tc>
        <w:tc>
          <w:tcPr>
            <w:tcW w:w="854" w:type="dxa"/>
            <w:tcBorders>
              <w:left w:val="single" w:sz="18" w:space="0" w:color="FFFFFF" w:themeColor="background1"/>
            </w:tcBorders>
            <w:vAlign w:val="bottom"/>
          </w:tcPr>
          <w:p w:rsidR="00CE58F0" w:rsidRPr="00424746" w:rsidRDefault="00CE58F0" w:rsidP="00413B8D">
            <w:pPr>
              <w:jc w:val="right"/>
              <w:rPr>
                <w:sz w:val="20"/>
              </w:rPr>
            </w:pPr>
            <w:r w:rsidRPr="00424746">
              <w:rPr>
                <w:sz w:val="20"/>
              </w:rPr>
              <w:t>(9.3)</w:t>
            </w:r>
          </w:p>
        </w:tc>
        <w:tc>
          <w:tcPr>
            <w:tcW w:w="844" w:type="dxa"/>
            <w:gridSpan w:val="2"/>
            <w:tcBorders>
              <w:right w:val="single" w:sz="18" w:space="0" w:color="FFFFFF" w:themeColor="background1"/>
            </w:tcBorders>
            <w:vAlign w:val="bottom"/>
          </w:tcPr>
          <w:p w:rsidR="00CE58F0" w:rsidRPr="00424746" w:rsidRDefault="00CE58F0" w:rsidP="00413B8D">
            <w:pPr>
              <w:jc w:val="right"/>
              <w:rPr>
                <w:sz w:val="20"/>
              </w:rPr>
            </w:pPr>
          </w:p>
        </w:tc>
        <w:tc>
          <w:tcPr>
            <w:tcW w:w="859" w:type="dxa"/>
            <w:gridSpan w:val="2"/>
            <w:tcBorders>
              <w:left w:val="single" w:sz="18" w:space="0" w:color="FFFFFF" w:themeColor="background1"/>
            </w:tcBorders>
          </w:tcPr>
          <w:p w:rsidR="00CE58F0" w:rsidRPr="00424746" w:rsidRDefault="00CE58F0" w:rsidP="00413B8D">
            <w:pPr>
              <w:jc w:val="right"/>
              <w:rPr>
                <w:sz w:val="20"/>
              </w:rPr>
            </w:pPr>
            <w:r w:rsidRPr="00424746">
              <w:rPr>
                <w:sz w:val="20"/>
              </w:rPr>
              <w:t>0.0</w:t>
            </w:r>
          </w:p>
        </w:tc>
      </w:tr>
      <w:tr w:rsidR="00CE58F0" w:rsidRPr="00424746" w:rsidTr="00413B8D">
        <w:trPr>
          <w:trHeight w:val="234"/>
        </w:trPr>
        <w:tc>
          <w:tcPr>
            <w:tcW w:w="2383" w:type="dxa"/>
            <w:gridSpan w:val="2"/>
          </w:tcPr>
          <w:p w:rsidR="00CE58F0" w:rsidRPr="00424746" w:rsidRDefault="00CE58F0" w:rsidP="00413B8D">
            <w:pPr>
              <w:rPr>
                <w:sz w:val="20"/>
              </w:rPr>
            </w:pPr>
            <w:r w:rsidRPr="00424746">
              <w:rPr>
                <w:sz w:val="20"/>
              </w:rPr>
              <w:t>Pooled investments</w:t>
            </w:r>
          </w:p>
        </w:tc>
        <w:tc>
          <w:tcPr>
            <w:tcW w:w="771" w:type="dxa"/>
            <w:tcBorders>
              <w:right w:val="single" w:sz="18" w:space="0" w:color="FFFFFF" w:themeColor="background1"/>
            </w:tcBorders>
          </w:tcPr>
          <w:p w:rsidR="00CE58F0" w:rsidRPr="00424746" w:rsidRDefault="00CE58F0" w:rsidP="00413B8D">
            <w:pPr>
              <w:jc w:val="right"/>
              <w:rPr>
                <w:sz w:val="20"/>
              </w:rPr>
            </w:pPr>
          </w:p>
        </w:tc>
        <w:tc>
          <w:tcPr>
            <w:tcW w:w="937" w:type="dxa"/>
            <w:tcBorders>
              <w:left w:val="single" w:sz="18" w:space="0" w:color="FFFFFF" w:themeColor="background1"/>
            </w:tcBorders>
          </w:tcPr>
          <w:p w:rsidR="00CE58F0" w:rsidRPr="00424746" w:rsidRDefault="00CE58F0" w:rsidP="00413B8D">
            <w:pPr>
              <w:jc w:val="right"/>
              <w:rPr>
                <w:sz w:val="20"/>
              </w:rPr>
            </w:pPr>
            <w:r w:rsidRPr="00424746">
              <w:rPr>
                <w:sz w:val="20"/>
              </w:rPr>
              <w:t>1,601.2</w:t>
            </w:r>
          </w:p>
        </w:tc>
        <w:tc>
          <w:tcPr>
            <w:tcW w:w="428" w:type="dxa"/>
            <w:gridSpan w:val="2"/>
            <w:tcBorders>
              <w:right w:val="single" w:sz="18" w:space="0" w:color="FFFFFF" w:themeColor="background1"/>
            </w:tcBorders>
          </w:tcPr>
          <w:p w:rsidR="00CE58F0" w:rsidRPr="00424746" w:rsidRDefault="00CE58F0" w:rsidP="00413B8D">
            <w:pPr>
              <w:jc w:val="right"/>
              <w:rPr>
                <w:sz w:val="20"/>
              </w:rPr>
            </w:pPr>
          </w:p>
        </w:tc>
        <w:tc>
          <w:tcPr>
            <w:tcW w:w="1249" w:type="dxa"/>
            <w:tcBorders>
              <w:left w:val="single" w:sz="18" w:space="0" w:color="FFFFFF" w:themeColor="background1"/>
            </w:tcBorders>
          </w:tcPr>
          <w:p w:rsidR="00CE58F0" w:rsidRPr="00424746" w:rsidRDefault="00CE58F0" w:rsidP="00413B8D">
            <w:pPr>
              <w:jc w:val="right"/>
              <w:rPr>
                <w:sz w:val="20"/>
              </w:rPr>
            </w:pPr>
            <w:r w:rsidRPr="00424746">
              <w:rPr>
                <w:sz w:val="20"/>
              </w:rPr>
              <w:t>1,248.5</w:t>
            </w:r>
          </w:p>
        </w:tc>
        <w:tc>
          <w:tcPr>
            <w:tcW w:w="1849" w:type="dxa"/>
            <w:gridSpan w:val="3"/>
          </w:tcPr>
          <w:p w:rsidR="00CE58F0" w:rsidRPr="00424746" w:rsidRDefault="00CE58F0" w:rsidP="00413B8D">
            <w:pPr>
              <w:jc w:val="right"/>
              <w:rPr>
                <w:sz w:val="20"/>
              </w:rPr>
            </w:pPr>
            <w:r w:rsidRPr="00424746">
              <w:rPr>
                <w:sz w:val="20"/>
              </w:rPr>
              <w:t>(559.9)</w:t>
            </w:r>
          </w:p>
        </w:tc>
        <w:tc>
          <w:tcPr>
            <w:tcW w:w="888" w:type="dxa"/>
            <w:gridSpan w:val="2"/>
            <w:tcBorders>
              <w:right w:val="single" w:sz="18" w:space="0" w:color="FFFFFF" w:themeColor="background1"/>
            </w:tcBorders>
          </w:tcPr>
          <w:p w:rsidR="00CE58F0" w:rsidRPr="00424746" w:rsidRDefault="00CE58F0" w:rsidP="00413B8D">
            <w:pPr>
              <w:jc w:val="right"/>
              <w:rPr>
                <w:sz w:val="20"/>
              </w:rPr>
            </w:pPr>
          </w:p>
        </w:tc>
        <w:tc>
          <w:tcPr>
            <w:tcW w:w="854" w:type="dxa"/>
            <w:tcBorders>
              <w:left w:val="single" w:sz="18" w:space="0" w:color="FFFFFF" w:themeColor="background1"/>
            </w:tcBorders>
          </w:tcPr>
          <w:p w:rsidR="00CE58F0" w:rsidRPr="00424746" w:rsidRDefault="00CE58F0" w:rsidP="00413B8D">
            <w:pPr>
              <w:jc w:val="right"/>
              <w:rPr>
                <w:sz w:val="20"/>
              </w:rPr>
            </w:pPr>
            <w:r w:rsidRPr="00424746">
              <w:rPr>
                <w:sz w:val="20"/>
              </w:rPr>
              <w:t>(50.9)</w:t>
            </w:r>
          </w:p>
        </w:tc>
        <w:tc>
          <w:tcPr>
            <w:tcW w:w="1703" w:type="dxa"/>
            <w:gridSpan w:val="4"/>
          </w:tcPr>
          <w:p w:rsidR="00CE58F0" w:rsidRPr="00424746" w:rsidRDefault="00CE58F0" w:rsidP="00413B8D">
            <w:pPr>
              <w:jc w:val="right"/>
              <w:rPr>
                <w:sz w:val="20"/>
              </w:rPr>
            </w:pPr>
            <w:r w:rsidRPr="00424746">
              <w:rPr>
                <w:sz w:val="20"/>
              </w:rPr>
              <w:t>2,238.9</w:t>
            </w:r>
          </w:p>
        </w:tc>
      </w:tr>
      <w:tr w:rsidR="00CE58F0" w:rsidRPr="00424746" w:rsidTr="00413B8D">
        <w:trPr>
          <w:trHeight w:val="249"/>
        </w:trPr>
        <w:tc>
          <w:tcPr>
            <w:tcW w:w="2383" w:type="dxa"/>
            <w:gridSpan w:val="2"/>
          </w:tcPr>
          <w:p w:rsidR="00CE58F0" w:rsidRPr="00424746" w:rsidRDefault="00CE58F0" w:rsidP="00413B8D">
            <w:pPr>
              <w:rPr>
                <w:sz w:val="20"/>
              </w:rPr>
            </w:pPr>
            <w:r w:rsidRPr="00424746">
              <w:rPr>
                <w:sz w:val="20"/>
              </w:rPr>
              <w:t>Property</w:t>
            </w:r>
          </w:p>
        </w:tc>
        <w:tc>
          <w:tcPr>
            <w:tcW w:w="771" w:type="dxa"/>
            <w:tcBorders>
              <w:bottom w:val="single" w:sz="18" w:space="0" w:color="auto"/>
              <w:right w:val="single" w:sz="18" w:space="0" w:color="FFFFFF" w:themeColor="background1"/>
            </w:tcBorders>
          </w:tcPr>
          <w:p w:rsidR="00CE58F0" w:rsidRPr="00424746" w:rsidRDefault="00CE58F0" w:rsidP="00413B8D">
            <w:pPr>
              <w:jc w:val="right"/>
              <w:rPr>
                <w:sz w:val="20"/>
              </w:rPr>
            </w:pPr>
          </w:p>
        </w:tc>
        <w:tc>
          <w:tcPr>
            <w:tcW w:w="937" w:type="dxa"/>
            <w:tcBorders>
              <w:left w:val="single" w:sz="18" w:space="0" w:color="FFFFFF" w:themeColor="background1"/>
              <w:bottom w:val="single" w:sz="18" w:space="0" w:color="auto"/>
            </w:tcBorders>
          </w:tcPr>
          <w:p w:rsidR="00CE58F0" w:rsidRPr="00424746" w:rsidRDefault="00CE58F0" w:rsidP="00413B8D">
            <w:pPr>
              <w:jc w:val="right"/>
              <w:rPr>
                <w:sz w:val="20"/>
              </w:rPr>
            </w:pPr>
            <w:r w:rsidRPr="00424746">
              <w:rPr>
                <w:sz w:val="20"/>
              </w:rPr>
              <w:t>434.9</w:t>
            </w:r>
          </w:p>
        </w:tc>
        <w:tc>
          <w:tcPr>
            <w:tcW w:w="428" w:type="dxa"/>
            <w:gridSpan w:val="2"/>
            <w:tcBorders>
              <w:bottom w:val="single" w:sz="18" w:space="0" w:color="auto"/>
              <w:right w:val="single" w:sz="18" w:space="0" w:color="FFFFFF" w:themeColor="background1"/>
            </w:tcBorders>
          </w:tcPr>
          <w:p w:rsidR="00CE58F0" w:rsidRPr="00424746" w:rsidRDefault="00CE58F0" w:rsidP="00413B8D">
            <w:pPr>
              <w:jc w:val="right"/>
              <w:rPr>
                <w:sz w:val="20"/>
              </w:rPr>
            </w:pPr>
          </w:p>
        </w:tc>
        <w:tc>
          <w:tcPr>
            <w:tcW w:w="1249" w:type="dxa"/>
            <w:tcBorders>
              <w:left w:val="single" w:sz="18" w:space="0" w:color="FFFFFF" w:themeColor="background1"/>
              <w:bottom w:val="single" w:sz="18" w:space="0" w:color="auto"/>
            </w:tcBorders>
          </w:tcPr>
          <w:p w:rsidR="00CE58F0" w:rsidRPr="00424746" w:rsidRDefault="00CE58F0" w:rsidP="00413B8D">
            <w:pPr>
              <w:jc w:val="right"/>
              <w:rPr>
                <w:sz w:val="20"/>
              </w:rPr>
            </w:pPr>
            <w:r w:rsidRPr="00424746">
              <w:rPr>
                <w:sz w:val="20"/>
              </w:rPr>
              <w:t>15.0</w:t>
            </w:r>
          </w:p>
        </w:tc>
        <w:tc>
          <w:tcPr>
            <w:tcW w:w="1849" w:type="dxa"/>
            <w:gridSpan w:val="3"/>
            <w:tcBorders>
              <w:bottom w:val="single" w:sz="18" w:space="0" w:color="auto"/>
            </w:tcBorders>
          </w:tcPr>
          <w:p w:rsidR="00CE58F0" w:rsidRPr="00424746" w:rsidRDefault="00CE58F0" w:rsidP="00413B8D">
            <w:pPr>
              <w:jc w:val="right"/>
              <w:rPr>
                <w:sz w:val="20"/>
              </w:rPr>
            </w:pPr>
            <w:r w:rsidRPr="00424746">
              <w:rPr>
                <w:sz w:val="20"/>
              </w:rPr>
              <w:t>(43.3)</w:t>
            </w:r>
          </w:p>
        </w:tc>
        <w:tc>
          <w:tcPr>
            <w:tcW w:w="888" w:type="dxa"/>
            <w:gridSpan w:val="2"/>
            <w:tcBorders>
              <w:bottom w:val="single" w:sz="18" w:space="0" w:color="auto"/>
              <w:right w:val="single" w:sz="18" w:space="0" w:color="FFFFFF" w:themeColor="background1"/>
            </w:tcBorders>
          </w:tcPr>
          <w:p w:rsidR="00CE58F0" w:rsidRPr="00424746" w:rsidRDefault="00CE58F0" w:rsidP="00413B8D">
            <w:pPr>
              <w:jc w:val="right"/>
              <w:rPr>
                <w:sz w:val="20"/>
              </w:rPr>
            </w:pPr>
          </w:p>
        </w:tc>
        <w:tc>
          <w:tcPr>
            <w:tcW w:w="854" w:type="dxa"/>
            <w:tcBorders>
              <w:left w:val="single" w:sz="18" w:space="0" w:color="FFFFFF" w:themeColor="background1"/>
              <w:bottom w:val="single" w:sz="18" w:space="0" w:color="auto"/>
            </w:tcBorders>
          </w:tcPr>
          <w:p w:rsidR="00CE58F0" w:rsidRPr="00424746" w:rsidRDefault="00CE58F0" w:rsidP="00413B8D">
            <w:pPr>
              <w:jc w:val="right"/>
              <w:rPr>
                <w:sz w:val="20"/>
              </w:rPr>
            </w:pPr>
            <w:r w:rsidRPr="00424746">
              <w:rPr>
                <w:sz w:val="20"/>
              </w:rPr>
              <w:t>43.9</w:t>
            </w:r>
          </w:p>
        </w:tc>
        <w:tc>
          <w:tcPr>
            <w:tcW w:w="844" w:type="dxa"/>
            <w:gridSpan w:val="2"/>
            <w:tcBorders>
              <w:bottom w:val="single" w:sz="18" w:space="0" w:color="auto"/>
              <w:right w:val="single" w:sz="18" w:space="0" w:color="FFFFFF" w:themeColor="background1"/>
            </w:tcBorders>
          </w:tcPr>
          <w:p w:rsidR="00CE58F0" w:rsidRPr="00424746" w:rsidRDefault="00CE58F0" w:rsidP="00413B8D">
            <w:pPr>
              <w:jc w:val="right"/>
              <w:rPr>
                <w:sz w:val="20"/>
              </w:rPr>
            </w:pPr>
          </w:p>
        </w:tc>
        <w:tc>
          <w:tcPr>
            <w:tcW w:w="859" w:type="dxa"/>
            <w:gridSpan w:val="2"/>
            <w:tcBorders>
              <w:left w:val="single" w:sz="18" w:space="0" w:color="FFFFFF" w:themeColor="background1"/>
              <w:bottom w:val="single" w:sz="18" w:space="0" w:color="auto"/>
            </w:tcBorders>
          </w:tcPr>
          <w:p w:rsidR="00CE58F0" w:rsidRPr="00424746" w:rsidRDefault="00CE58F0" w:rsidP="00413B8D">
            <w:pPr>
              <w:jc w:val="right"/>
              <w:rPr>
                <w:sz w:val="20"/>
              </w:rPr>
            </w:pPr>
            <w:r w:rsidRPr="00424746">
              <w:rPr>
                <w:sz w:val="20"/>
              </w:rPr>
              <w:t>450.5</w:t>
            </w:r>
          </w:p>
        </w:tc>
      </w:tr>
      <w:tr w:rsidR="00CE58F0" w:rsidRPr="00424746" w:rsidTr="00413B8D">
        <w:trPr>
          <w:trHeight w:val="234"/>
        </w:trPr>
        <w:tc>
          <w:tcPr>
            <w:tcW w:w="2383" w:type="dxa"/>
            <w:gridSpan w:val="2"/>
          </w:tcPr>
          <w:p w:rsidR="00CE58F0" w:rsidRPr="00424746" w:rsidRDefault="00CE58F0" w:rsidP="00413B8D">
            <w:pPr>
              <w:rPr>
                <w:sz w:val="20"/>
              </w:rPr>
            </w:pPr>
          </w:p>
        </w:tc>
        <w:tc>
          <w:tcPr>
            <w:tcW w:w="771" w:type="dxa"/>
            <w:tcBorders>
              <w:top w:val="single" w:sz="18" w:space="0" w:color="auto"/>
              <w:right w:val="single" w:sz="18" w:space="0" w:color="FFFFFF" w:themeColor="background1"/>
            </w:tcBorders>
          </w:tcPr>
          <w:p w:rsidR="00CE58F0" w:rsidRPr="00424746" w:rsidRDefault="00CE58F0" w:rsidP="00413B8D">
            <w:pPr>
              <w:jc w:val="right"/>
              <w:rPr>
                <w:sz w:val="20"/>
              </w:rPr>
            </w:pPr>
          </w:p>
        </w:tc>
        <w:tc>
          <w:tcPr>
            <w:tcW w:w="937" w:type="dxa"/>
            <w:tcBorders>
              <w:top w:val="single" w:sz="18" w:space="0" w:color="auto"/>
              <w:left w:val="single" w:sz="18" w:space="0" w:color="FFFFFF" w:themeColor="background1"/>
            </w:tcBorders>
          </w:tcPr>
          <w:p w:rsidR="00CE58F0" w:rsidRPr="00424746" w:rsidRDefault="00CE58F0" w:rsidP="00413B8D">
            <w:pPr>
              <w:jc w:val="right"/>
              <w:rPr>
                <w:sz w:val="20"/>
              </w:rPr>
            </w:pPr>
            <w:r w:rsidRPr="00424746">
              <w:rPr>
                <w:sz w:val="20"/>
              </w:rPr>
              <w:t>4,793.9</w:t>
            </w:r>
          </w:p>
        </w:tc>
        <w:tc>
          <w:tcPr>
            <w:tcW w:w="428" w:type="dxa"/>
            <w:gridSpan w:val="2"/>
            <w:tcBorders>
              <w:top w:val="single" w:sz="18" w:space="0" w:color="auto"/>
              <w:right w:val="single" w:sz="18" w:space="0" w:color="FFFFFF" w:themeColor="background1"/>
            </w:tcBorders>
          </w:tcPr>
          <w:p w:rsidR="00CE58F0" w:rsidRPr="00424746" w:rsidRDefault="00CE58F0" w:rsidP="00413B8D">
            <w:pPr>
              <w:jc w:val="right"/>
              <w:rPr>
                <w:sz w:val="20"/>
              </w:rPr>
            </w:pPr>
          </w:p>
        </w:tc>
        <w:tc>
          <w:tcPr>
            <w:tcW w:w="1249" w:type="dxa"/>
            <w:tcBorders>
              <w:top w:val="single" w:sz="18" w:space="0" w:color="auto"/>
              <w:left w:val="single" w:sz="18" w:space="0" w:color="FFFFFF" w:themeColor="background1"/>
            </w:tcBorders>
          </w:tcPr>
          <w:p w:rsidR="00CE58F0" w:rsidRPr="00424746" w:rsidRDefault="00CE58F0" w:rsidP="00413B8D">
            <w:pPr>
              <w:jc w:val="right"/>
              <w:rPr>
                <w:sz w:val="20"/>
              </w:rPr>
            </w:pPr>
            <w:r w:rsidRPr="00424746">
              <w:rPr>
                <w:sz w:val="20"/>
              </w:rPr>
              <w:t>2,519.1</w:t>
            </w:r>
          </w:p>
        </w:tc>
        <w:tc>
          <w:tcPr>
            <w:tcW w:w="1849" w:type="dxa"/>
            <w:gridSpan w:val="3"/>
            <w:tcBorders>
              <w:top w:val="single" w:sz="18" w:space="0" w:color="auto"/>
            </w:tcBorders>
          </w:tcPr>
          <w:p w:rsidR="00CE58F0" w:rsidRPr="00424746" w:rsidRDefault="00CE58F0" w:rsidP="00413B8D">
            <w:pPr>
              <w:jc w:val="right"/>
              <w:rPr>
                <w:sz w:val="20"/>
              </w:rPr>
            </w:pPr>
            <w:r w:rsidRPr="00424746">
              <w:rPr>
                <w:sz w:val="20"/>
              </w:rPr>
              <w:t>(2,572.4)</w:t>
            </w:r>
          </w:p>
        </w:tc>
        <w:tc>
          <w:tcPr>
            <w:tcW w:w="888" w:type="dxa"/>
            <w:gridSpan w:val="2"/>
            <w:tcBorders>
              <w:top w:val="single" w:sz="18" w:space="0" w:color="auto"/>
              <w:right w:val="single" w:sz="18" w:space="0" w:color="FFFFFF" w:themeColor="background1"/>
            </w:tcBorders>
          </w:tcPr>
          <w:p w:rsidR="00CE58F0" w:rsidRPr="00424746" w:rsidRDefault="00CE58F0" w:rsidP="00413B8D">
            <w:pPr>
              <w:jc w:val="right"/>
              <w:rPr>
                <w:sz w:val="20"/>
              </w:rPr>
            </w:pPr>
          </w:p>
        </w:tc>
        <w:tc>
          <w:tcPr>
            <w:tcW w:w="854" w:type="dxa"/>
            <w:tcBorders>
              <w:top w:val="single" w:sz="18" w:space="0" w:color="auto"/>
              <w:left w:val="single" w:sz="18" w:space="0" w:color="FFFFFF" w:themeColor="background1"/>
            </w:tcBorders>
          </w:tcPr>
          <w:p w:rsidR="00CE58F0" w:rsidRPr="00424746" w:rsidRDefault="00CE58F0" w:rsidP="00413B8D">
            <w:pPr>
              <w:jc w:val="right"/>
              <w:rPr>
                <w:sz w:val="20"/>
              </w:rPr>
            </w:pPr>
            <w:r w:rsidRPr="00424746">
              <w:rPr>
                <w:sz w:val="20"/>
              </w:rPr>
              <w:t>102.9</w:t>
            </w:r>
          </w:p>
        </w:tc>
        <w:tc>
          <w:tcPr>
            <w:tcW w:w="1703" w:type="dxa"/>
            <w:gridSpan w:val="4"/>
            <w:tcBorders>
              <w:top w:val="single" w:sz="18" w:space="0" w:color="auto"/>
            </w:tcBorders>
          </w:tcPr>
          <w:p w:rsidR="00CE58F0" w:rsidRPr="00424746" w:rsidRDefault="00CE58F0" w:rsidP="00413B8D">
            <w:pPr>
              <w:jc w:val="right"/>
              <w:rPr>
                <w:sz w:val="20"/>
              </w:rPr>
            </w:pPr>
            <w:r w:rsidRPr="00424746">
              <w:rPr>
                <w:sz w:val="20"/>
              </w:rPr>
              <w:t>4,843.5</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65"/>
        </w:trPr>
        <w:tc>
          <w:tcPr>
            <w:tcW w:w="2376" w:type="dxa"/>
            <w:tcBorders>
              <w:top w:val="nil"/>
              <w:left w:val="nil"/>
              <w:bottom w:val="nil"/>
              <w:right w:val="nil"/>
            </w:tcBorders>
          </w:tcPr>
          <w:p w:rsidR="00CE58F0" w:rsidRDefault="00CE58F0" w:rsidP="00413B8D">
            <w:pPr>
              <w:rPr>
                <w:sz w:val="20"/>
              </w:rPr>
            </w:pPr>
            <w:r>
              <w:rPr>
                <w:sz w:val="20"/>
              </w:rPr>
              <w:t>Derivative contracts:</w:t>
            </w:r>
          </w:p>
          <w:p w:rsidR="00CE58F0" w:rsidRDefault="00CE58F0" w:rsidP="00413B8D">
            <w:pPr>
              <w:rPr>
                <w:sz w:val="20"/>
              </w:rPr>
            </w:pPr>
          </w:p>
        </w:tc>
        <w:tc>
          <w:tcPr>
            <w:tcW w:w="1780" w:type="dxa"/>
            <w:gridSpan w:val="4"/>
            <w:tcBorders>
              <w:top w:val="nil"/>
              <w:left w:val="nil"/>
              <w:bottom w:val="nil"/>
              <w:right w:val="nil"/>
            </w:tcBorders>
          </w:tcPr>
          <w:p w:rsidR="00CE58F0" w:rsidRDefault="00CE58F0" w:rsidP="00413B8D">
            <w:pPr>
              <w:spacing w:after="120"/>
              <w:ind w:right="112"/>
              <w:rPr>
                <w:sz w:val="20"/>
              </w:rPr>
            </w:pPr>
          </w:p>
        </w:tc>
        <w:tc>
          <w:tcPr>
            <w:tcW w:w="1780" w:type="dxa"/>
            <w:gridSpan w:val="3"/>
            <w:tcBorders>
              <w:top w:val="nil"/>
              <w:left w:val="nil"/>
              <w:bottom w:val="nil"/>
              <w:right w:val="nil"/>
            </w:tcBorders>
          </w:tcPr>
          <w:p w:rsidR="00CE58F0" w:rsidRDefault="00CE58F0" w:rsidP="00413B8D">
            <w:pPr>
              <w:spacing w:after="120"/>
              <w:rPr>
                <w:sz w:val="20"/>
              </w:rPr>
            </w:pPr>
          </w:p>
        </w:tc>
        <w:tc>
          <w:tcPr>
            <w:tcW w:w="1780" w:type="dxa"/>
            <w:gridSpan w:val="3"/>
            <w:tcBorders>
              <w:top w:val="nil"/>
              <w:left w:val="nil"/>
              <w:bottom w:val="nil"/>
              <w:right w:val="nil"/>
            </w:tcBorders>
          </w:tcPr>
          <w:p w:rsidR="00CE58F0" w:rsidRDefault="00CE58F0" w:rsidP="00413B8D">
            <w:pPr>
              <w:spacing w:after="120"/>
              <w:rPr>
                <w:sz w:val="20"/>
              </w:rPr>
            </w:pPr>
          </w:p>
        </w:tc>
        <w:tc>
          <w:tcPr>
            <w:tcW w:w="1781" w:type="dxa"/>
            <w:gridSpan w:val="3"/>
            <w:tcBorders>
              <w:top w:val="nil"/>
              <w:left w:val="nil"/>
              <w:bottom w:val="nil"/>
              <w:right w:val="nil"/>
            </w:tcBorders>
          </w:tcPr>
          <w:p w:rsidR="00CE58F0" w:rsidRDefault="00CE58F0" w:rsidP="00413B8D">
            <w:pPr>
              <w:spacing w:after="120"/>
              <w:rPr>
                <w:sz w:val="20"/>
              </w:rPr>
            </w:pPr>
          </w:p>
        </w:tc>
        <w:tc>
          <w:tcPr>
            <w:tcW w:w="1526" w:type="dxa"/>
            <w:gridSpan w:val="2"/>
            <w:tcBorders>
              <w:top w:val="nil"/>
              <w:left w:val="nil"/>
              <w:bottom w:val="nil"/>
              <w:right w:val="nil"/>
            </w:tcBorders>
          </w:tcPr>
          <w:p w:rsidR="00CE58F0" w:rsidRDefault="00CE58F0" w:rsidP="00413B8D">
            <w:pPr>
              <w:spacing w:after="120"/>
              <w:rPr>
                <w:sz w:val="20"/>
              </w:rPr>
            </w:pP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588"/>
        </w:trPr>
        <w:tc>
          <w:tcPr>
            <w:tcW w:w="2376" w:type="dxa"/>
            <w:tcBorders>
              <w:top w:val="nil"/>
              <w:left w:val="nil"/>
              <w:bottom w:val="nil"/>
              <w:right w:val="nil"/>
            </w:tcBorders>
          </w:tcPr>
          <w:p w:rsidR="00CE58F0" w:rsidRDefault="00CE58F0" w:rsidP="00413B8D">
            <w:pPr>
              <w:rPr>
                <w:sz w:val="20"/>
              </w:rPr>
            </w:pPr>
            <w:r>
              <w:rPr>
                <w:sz w:val="20"/>
              </w:rPr>
              <w:t>Forward currency contracts asset value</w:t>
            </w:r>
          </w:p>
        </w:tc>
        <w:tc>
          <w:tcPr>
            <w:tcW w:w="1780" w:type="dxa"/>
            <w:gridSpan w:val="4"/>
            <w:tcBorders>
              <w:top w:val="nil"/>
              <w:left w:val="nil"/>
              <w:bottom w:val="nil"/>
              <w:right w:val="nil"/>
            </w:tcBorders>
          </w:tcPr>
          <w:p w:rsidR="00CE58F0" w:rsidRDefault="00CE58F0" w:rsidP="00413B8D">
            <w:pPr>
              <w:spacing w:after="120"/>
              <w:ind w:right="112"/>
              <w:jc w:val="right"/>
              <w:rPr>
                <w:sz w:val="20"/>
              </w:rPr>
            </w:pPr>
            <w:r>
              <w:rPr>
                <w:sz w:val="20"/>
              </w:rPr>
              <w:t>121.4</w:t>
            </w: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nil"/>
              <w:left w:val="nil"/>
              <w:bottom w:val="nil"/>
              <w:right w:val="nil"/>
            </w:tcBorders>
          </w:tcPr>
          <w:p w:rsidR="00CE58F0" w:rsidRDefault="00CE58F0" w:rsidP="00413B8D">
            <w:pPr>
              <w:tabs>
                <w:tab w:val="left" w:pos="1276"/>
              </w:tabs>
              <w:spacing w:after="120"/>
              <w:jc w:val="right"/>
              <w:rPr>
                <w:sz w:val="20"/>
              </w:rPr>
            </w:pPr>
            <w:r>
              <w:rPr>
                <w:sz w:val="20"/>
              </w:rPr>
              <w:t>21.4</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CE58F0" w:rsidRDefault="00CE58F0" w:rsidP="00413B8D">
            <w:pPr>
              <w:rPr>
                <w:sz w:val="20"/>
              </w:rPr>
            </w:pPr>
            <w:r>
              <w:rPr>
                <w:sz w:val="20"/>
              </w:rPr>
              <w:t>Cash deposits</w:t>
            </w:r>
          </w:p>
        </w:tc>
        <w:tc>
          <w:tcPr>
            <w:tcW w:w="1780" w:type="dxa"/>
            <w:gridSpan w:val="4"/>
            <w:tcBorders>
              <w:top w:val="nil"/>
              <w:left w:val="nil"/>
              <w:bottom w:val="nil"/>
              <w:right w:val="nil"/>
            </w:tcBorders>
          </w:tcPr>
          <w:p w:rsidR="00CE58F0" w:rsidRDefault="00CE58F0" w:rsidP="00413B8D">
            <w:pPr>
              <w:spacing w:after="120"/>
              <w:ind w:right="112"/>
              <w:jc w:val="right"/>
              <w:rPr>
                <w:sz w:val="20"/>
              </w:rPr>
            </w:pPr>
            <w:r>
              <w:rPr>
                <w:sz w:val="20"/>
              </w:rPr>
              <w:t>170.5</w:t>
            </w: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nil"/>
              <w:left w:val="nil"/>
              <w:bottom w:val="nil"/>
              <w:right w:val="nil"/>
            </w:tcBorders>
          </w:tcPr>
          <w:p w:rsidR="00CE58F0" w:rsidRDefault="00CE58F0" w:rsidP="00413B8D">
            <w:pPr>
              <w:spacing w:after="120"/>
              <w:jc w:val="right"/>
              <w:rPr>
                <w:sz w:val="20"/>
              </w:rPr>
            </w:pPr>
            <w:r>
              <w:rPr>
                <w:sz w:val="20"/>
              </w:rPr>
              <w:t>315.5</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CE58F0" w:rsidRDefault="00CE58F0" w:rsidP="00413B8D">
            <w:pPr>
              <w:rPr>
                <w:sz w:val="20"/>
              </w:rPr>
            </w:pPr>
            <w:r>
              <w:rPr>
                <w:sz w:val="20"/>
              </w:rPr>
              <w:t>Investment accruals</w:t>
            </w:r>
          </w:p>
        </w:tc>
        <w:tc>
          <w:tcPr>
            <w:tcW w:w="1780" w:type="dxa"/>
            <w:gridSpan w:val="4"/>
            <w:tcBorders>
              <w:top w:val="nil"/>
              <w:left w:val="nil"/>
              <w:bottom w:val="single" w:sz="4" w:space="0" w:color="auto"/>
              <w:right w:val="nil"/>
            </w:tcBorders>
          </w:tcPr>
          <w:p w:rsidR="00CE58F0" w:rsidRDefault="00CE58F0" w:rsidP="00413B8D">
            <w:pPr>
              <w:spacing w:after="120"/>
              <w:ind w:right="112"/>
              <w:jc w:val="right"/>
              <w:rPr>
                <w:sz w:val="20"/>
              </w:rPr>
            </w:pPr>
            <w:r>
              <w:rPr>
                <w:sz w:val="20"/>
              </w:rPr>
              <w:t>21.6</w:t>
            </w: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nil"/>
              <w:left w:val="nil"/>
              <w:bottom w:val="single" w:sz="4" w:space="0" w:color="auto"/>
              <w:right w:val="nil"/>
            </w:tcBorders>
          </w:tcPr>
          <w:p w:rsidR="00CE58F0" w:rsidRDefault="00CE58F0" w:rsidP="00413B8D">
            <w:pPr>
              <w:spacing w:after="120"/>
              <w:jc w:val="right"/>
              <w:rPr>
                <w:sz w:val="20"/>
              </w:rPr>
            </w:pPr>
            <w:r>
              <w:rPr>
                <w:sz w:val="20"/>
              </w:rPr>
              <w:t>12.4</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71"/>
        </w:trPr>
        <w:tc>
          <w:tcPr>
            <w:tcW w:w="2376" w:type="dxa"/>
            <w:tcBorders>
              <w:top w:val="nil"/>
              <w:left w:val="nil"/>
              <w:bottom w:val="nil"/>
              <w:right w:val="nil"/>
            </w:tcBorders>
          </w:tcPr>
          <w:p w:rsidR="00CE58F0" w:rsidRDefault="00CE58F0" w:rsidP="00413B8D">
            <w:pPr>
              <w:rPr>
                <w:sz w:val="20"/>
              </w:rPr>
            </w:pPr>
            <w:r>
              <w:rPr>
                <w:sz w:val="20"/>
              </w:rPr>
              <w:t>Investment assets</w:t>
            </w:r>
          </w:p>
        </w:tc>
        <w:tc>
          <w:tcPr>
            <w:tcW w:w="1780" w:type="dxa"/>
            <w:gridSpan w:val="4"/>
            <w:tcBorders>
              <w:top w:val="single" w:sz="4" w:space="0" w:color="auto"/>
              <w:left w:val="nil"/>
              <w:bottom w:val="single" w:sz="4" w:space="0" w:color="auto"/>
              <w:right w:val="nil"/>
            </w:tcBorders>
          </w:tcPr>
          <w:p w:rsidR="00CE58F0" w:rsidRDefault="00CE58F0" w:rsidP="00413B8D">
            <w:pPr>
              <w:spacing w:after="120"/>
              <w:ind w:right="112"/>
              <w:jc w:val="right"/>
              <w:rPr>
                <w:sz w:val="20"/>
              </w:rPr>
            </w:pPr>
            <w:r>
              <w:rPr>
                <w:sz w:val="20"/>
              </w:rPr>
              <w:t>5,107.4</w:t>
            </w: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single" w:sz="4" w:space="0" w:color="auto"/>
              <w:left w:val="nil"/>
              <w:bottom w:val="single" w:sz="4" w:space="0" w:color="auto"/>
              <w:right w:val="nil"/>
            </w:tcBorders>
          </w:tcPr>
          <w:p w:rsidR="00CE58F0" w:rsidRDefault="00CE58F0" w:rsidP="00413B8D">
            <w:pPr>
              <w:spacing w:after="120"/>
              <w:jc w:val="right"/>
              <w:rPr>
                <w:sz w:val="20"/>
              </w:rPr>
            </w:pPr>
            <w:r>
              <w:rPr>
                <w:sz w:val="20"/>
              </w:rPr>
              <w:t>5,192.8</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05"/>
        </w:trPr>
        <w:tc>
          <w:tcPr>
            <w:tcW w:w="2376" w:type="dxa"/>
            <w:tcBorders>
              <w:top w:val="nil"/>
              <w:left w:val="nil"/>
              <w:bottom w:val="nil"/>
              <w:right w:val="nil"/>
            </w:tcBorders>
          </w:tcPr>
          <w:p w:rsidR="00CE58F0" w:rsidRDefault="00CE58F0" w:rsidP="00413B8D">
            <w:pPr>
              <w:rPr>
                <w:sz w:val="20"/>
              </w:rPr>
            </w:pPr>
          </w:p>
        </w:tc>
        <w:tc>
          <w:tcPr>
            <w:tcW w:w="1780" w:type="dxa"/>
            <w:gridSpan w:val="4"/>
            <w:tcBorders>
              <w:top w:val="single" w:sz="4" w:space="0" w:color="auto"/>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single" w:sz="4" w:space="0" w:color="auto"/>
              <w:left w:val="nil"/>
              <w:bottom w:val="nil"/>
              <w:right w:val="nil"/>
            </w:tcBorders>
          </w:tcPr>
          <w:p w:rsidR="00CE58F0" w:rsidRDefault="00CE58F0" w:rsidP="00413B8D">
            <w:pPr>
              <w:spacing w:after="120"/>
              <w:jc w:val="right"/>
              <w:rPr>
                <w:sz w:val="20"/>
              </w:rPr>
            </w:pP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CE58F0" w:rsidRDefault="00CE58F0" w:rsidP="00413B8D">
            <w:pPr>
              <w:rPr>
                <w:sz w:val="20"/>
              </w:rPr>
            </w:pPr>
            <w:r>
              <w:rPr>
                <w:sz w:val="20"/>
              </w:rPr>
              <w:t>Forward currency contracts liability value</w:t>
            </w:r>
          </w:p>
        </w:tc>
        <w:tc>
          <w:tcPr>
            <w:tcW w:w="1780" w:type="dxa"/>
            <w:gridSpan w:val="4"/>
            <w:tcBorders>
              <w:top w:val="nil"/>
              <w:left w:val="nil"/>
              <w:bottom w:val="single" w:sz="18" w:space="0" w:color="auto"/>
              <w:right w:val="nil"/>
            </w:tcBorders>
          </w:tcPr>
          <w:p w:rsidR="00CE58F0" w:rsidRDefault="00CE58F0" w:rsidP="00413B8D">
            <w:pPr>
              <w:spacing w:after="120"/>
              <w:ind w:right="112"/>
              <w:jc w:val="right"/>
              <w:rPr>
                <w:sz w:val="20"/>
              </w:rPr>
            </w:pPr>
            <w:r>
              <w:rPr>
                <w:sz w:val="20"/>
              </w:rPr>
              <w:t>(118.4)</w:t>
            </w: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nil"/>
              <w:left w:val="nil"/>
              <w:bottom w:val="single" w:sz="18" w:space="0" w:color="auto"/>
              <w:right w:val="nil"/>
            </w:tcBorders>
          </w:tcPr>
          <w:p w:rsidR="00CE58F0" w:rsidRDefault="00CE58F0" w:rsidP="00413B8D">
            <w:pPr>
              <w:spacing w:after="120"/>
              <w:jc w:val="right"/>
              <w:rPr>
                <w:sz w:val="20"/>
              </w:rPr>
            </w:pPr>
            <w:r>
              <w:rPr>
                <w:sz w:val="20"/>
              </w:rPr>
              <w:t>(21.3)</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Pr>
        <w:tc>
          <w:tcPr>
            <w:tcW w:w="2376" w:type="dxa"/>
            <w:tcBorders>
              <w:top w:val="nil"/>
              <w:left w:val="nil"/>
              <w:bottom w:val="nil"/>
              <w:right w:val="nil"/>
            </w:tcBorders>
          </w:tcPr>
          <w:p w:rsidR="00CE58F0" w:rsidRDefault="00CE58F0" w:rsidP="00413B8D">
            <w:pPr>
              <w:rPr>
                <w:sz w:val="20"/>
              </w:rPr>
            </w:pPr>
            <w:r>
              <w:rPr>
                <w:sz w:val="20"/>
              </w:rPr>
              <w:t>Portfolio value</w:t>
            </w:r>
          </w:p>
        </w:tc>
        <w:tc>
          <w:tcPr>
            <w:tcW w:w="1780" w:type="dxa"/>
            <w:gridSpan w:val="4"/>
            <w:tcBorders>
              <w:top w:val="single" w:sz="18" w:space="0" w:color="auto"/>
              <w:left w:val="nil"/>
              <w:bottom w:val="single" w:sz="18" w:space="0" w:color="auto"/>
              <w:right w:val="nil"/>
            </w:tcBorders>
          </w:tcPr>
          <w:p w:rsidR="00CE58F0" w:rsidRDefault="00CE58F0" w:rsidP="00413B8D">
            <w:pPr>
              <w:spacing w:after="120"/>
              <w:ind w:left="318" w:right="112"/>
              <w:jc w:val="right"/>
              <w:rPr>
                <w:sz w:val="20"/>
              </w:rPr>
            </w:pPr>
            <w:r>
              <w:rPr>
                <w:sz w:val="20"/>
              </w:rPr>
              <w:t>4,989.0</w:t>
            </w: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0" w:type="dxa"/>
            <w:gridSpan w:val="3"/>
            <w:tcBorders>
              <w:top w:val="nil"/>
              <w:left w:val="nil"/>
              <w:bottom w:val="nil"/>
              <w:right w:val="nil"/>
            </w:tcBorders>
          </w:tcPr>
          <w:p w:rsidR="00CE58F0" w:rsidRDefault="00CE58F0" w:rsidP="00413B8D">
            <w:pPr>
              <w:spacing w:after="120"/>
              <w:ind w:right="112"/>
              <w:jc w:val="right"/>
              <w:rPr>
                <w:sz w:val="20"/>
              </w:rPr>
            </w:pPr>
          </w:p>
        </w:tc>
        <w:tc>
          <w:tcPr>
            <w:tcW w:w="1781" w:type="dxa"/>
            <w:gridSpan w:val="3"/>
            <w:tcBorders>
              <w:top w:val="nil"/>
              <w:left w:val="nil"/>
              <w:bottom w:val="nil"/>
              <w:right w:val="nil"/>
            </w:tcBorders>
          </w:tcPr>
          <w:p w:rsidR="00CE58F0" w:rsidRDefault="00CE58F0" w:rsidP="00413B8D">
            <w:pPr>
              <w:spacing w:after="120"/>
              <w:ind w:right="112"/>
              <w:jc w:val="right"/>
              <w:rPr>
                <w:sz w:val="20"/>
              </w:rPr>
            </w:pPr>
          </w:p>
        </w:tc>
        <w:tc>
          <w:tcPr>
            <w:tcW w:w="1526" w:type="dxa"/>
            <w:gridSpan w:val="2"/>
            <w:tcBorders>
              <w:top w:val="single" w:sz="18" w:space="0" w:color="auto"/>
              <w:left w:val="nil"/>
              <w:bottom w:val="single" w:sz="18" w:space="0" w:color="auto"/>
              <w:right w:val="nil"/>
            </w:tcBorders>
          </w:tcPr>
          <w:p w:rsidR="00CE58F0" w:rsidRDefault="00CE58F0" w:rsidP="00413B8D">
            <w:pPr>
              <w:spacing w:after="120"/>
              <w:jc w:val="right"/>
              <w:rPr>
                <w:sz w:val="20"/>
              </w:rPr>
            </w:pPr>
            <w:r>
              <w:rPr>
                <w:sz w:val="20"/>
              </w:rPr>
              <w:t>5,171.5</w:t>
            </w:r>
          </w:p>
        </w:tc>
      </w:tr>
    </w:tbl>
    <w:p w:rsidR="00CE58F0" w:rsidRPr="00424746" w:rsidRDefault="00CE58F0" w:rsidP="00CE58F0">
      <w:pPr>
        <w:spacing w:after="120"/>
        <w:rPr>
          <w:sz w:val="20"/>
        </w:rPr>
      </w:pPr>
    </w:p>
    <w:p w:rsidR="00CE58F0" w:rsidRDefault="00CE58F0" w:rsidP="00CE58F0">
      <w:pPr>
        <w:spacing w:after="120"/>
        <w:rPr>
          <w:szCs w:val="24"/>
        </w:rPr>
      </w:pPr>
    </w:p>
    <w:p w:rsidR="0076770B" w:rsidRDefault="0076770B" w:rsidP="00CE58F0">
      <w:pPr>
        <w:spacing w:after="120"/>
        <w:rPr>
          <w:szCs w:val="24"/>
        </w:rPr>
      </w:pPr>
    </w:p>
    <w:tbl>
      <w:tblPr>
        <w:tblStyle w:val="TableGrid"/>
        <w:tblW w:w="1084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3"/>
        <w:gridCol w:w="144"/>
        <w:gridCol w:w="465"/>
        <w:gridCol w:w="284"/>
        <w:gridCol w:w="141"/>
        <w:gridCol w:w="745"/>
        <w:gridCol w:w="106"/>
        <w:gridCol w:w="142"/>
        <w:gridCol w:w="249"/>
        <w:gridCol w:w="1134"/>
        <w:gridCol w:w="110"/>
        <w:gridCol w:w="39"/>
        <w:gridCol w:w="8"/>
        <w:gridCol w:w="63"/>
        <w:gridCol w:w="63"/>
        <w:gridCol w:w="1646"/>
        <w:gridCol w:w="8"/>
        <w:gridCol w:w="13"/>
        <w:gridCol w:w="50"/>
        <w:gridCol w:w="835"/>
        <w:gridCol w:w="850"/>
        <w:gridCol w:w="25"/>
        <w:gridCol w:w="8"/>
        <w:gridCol w:w="63"/>
        <w:gridCol w:w="612"/>
        <w:gridCol w:w="133"/>
        <w:gridCol w:w="753"/>
        <w:gridCol w:w="100"/>
        <w:gridCol w:w="112"/>
      </w:tblGrid>
      <w:tr w:rsidR="00CE58F0" w:rsidRPr="008B5FD4" w:rsidTr="00413B8D">
        <w:trPr>
          <w:gridAfter w:val="1"/>
          <w:wAfter w:w="112" w:type="dxa"/>
        </w:trPr>
        <w:tc>
          <w:tcPr>
            <w:tcW w:w="2087" w:type="dxa"/>
            <w:gridSpan w:val="2"/>
          </w:tcPr>
          <w:p w:rsidR="00CE58F0" w:rsidRDefault="00CE58F0" w:rsidP="00413B8D">
            <w:pPr>
              <w:rPr>
                <w:b/>
                <w:sz w:val="20"/>
              </w:rPr>
            </w:pPr>
          </w:p>
          <w:p w:rsidR="00CE58F0" w:rsidRDefault="00CE58F0" w:rsidP="00413B8D">
            <w:pPr>
              <w:rPr>
                <w:b/>
                <w:sz w:val="20"/>
              </w:rPr>
            </w:pPr>
          </w:p>
          <w:p w:rsidR="00CE58F0" w:rsidRPr="008B5FD4" w:rsidRDefault="00CE58F0" w:rsidP="00413B8D">
            <w:pPr>
              <w:rPr>
                <w:b/>
                <w:sz w:val="20"/>
              </w:rPr>
            </w:pPr>
          </w:p>
        </w:tc>
        <w:tc>
          <w:tcPr>
            <w:tcW w:w="1883" w:type="dxa"/>
            <w:gridSpan w:val="6"/>
          </w:tcPr>
          <w:p w:rsidR="00CE58F0" w:rsidRPr="008B5FD4" w:rsidRDefault="00CE58F0" w:rsidP="00413B8D">
            <w:pPr>
              <w:jc w:val="right"/>
              <w:rPr>
                <w:b/>
                <w:sz w:val="20"/>
              </w:rPr>
            </w:pPr>
            <w:r w:rsidRPr="008B5FD4">
              <w:rPr>
                <w:b/>
                <w:sz w:val="20"/>
              </w:rPr>
              <w:t>Market Value at 1 April 201</w:t>
            </w:r>
            <w:r>
              <w:rPr>
                <w:b/>
                <w:sz w:val="20"/>
              </w:rPr>
              <w:t>2</w:t>
            </w:r>
          </w:p>
        </w:tc>
        <w:tc>
          <w:tcPr>
            <w:tcW w:w="1666" w:type="dxa"/>
            <w:gridSpan w:val="7"/>
          </w:tcPr>
          <w:p w:rsidR="00CE58F0" w:rsidRPr="008B5FD4" w:rsidRDefault="00CE58F0" w:rsidP="00413B8D">
            <w:pPr>
              <w:jc w:val="right"/>
              <w:rPr>
                <w:b/>
                <w:sz w:val="20"/>
              </w:rPr>
            </w:pPr>
            <w:r w:rsidRPr="008B5FD4">
              <w:rPr>
                <w:b/>
                <w:sz w:val="20"/>
              </w:rPr>
              <w:t>Purchases at cost and derivative payments</w:t>
            </w:r>
          </w:p>
        </w:tc>
        <w:tc>
          <w:tcPr>
            <w:tcW w:w="1667" w:type="dxa"/>
            <w:gridSpan w:val="3"/>
          </w:tcPr>
          <w:p w:rsidR="00CE58F0" w:rsidRPr="008B5FD4" w:rsidRDefault="00CE58F0" w:rsidP="00413B8D">
            <w:pPr>
              <w:jc w:val="right"/>
              <w:rPr>
                <w:b/>
                <w:sz w:val="20"/>
              </w:rPr>
            </w:pPr>
            <w:r w:rsidRPr="008B5FD4">
              <w:rPr>
                <w:b/>
                <w:sz w:val="20"/>
              </w:rPr>
              <w:t>Sales proceeds and derivative receipts</w:t>
            </w:r>
          </w:p>
        </w:tc>
        <w:tc>
          <w:tcPr>
            <w:tcW w:w="1735" w:type="dxa"/>
            <w:gridSpan w:val="3"/>
          </w:tcPr>
          <w:p w:rsidR="00CE58F0" w:rsidRDefault="00CE58F0" w:rsidP="00413B8D">
            <w:pPr>
              <w:jc w:val="right"/>
              <w:rPr>
                <w:b/>
                <w:sz w:val="20"/>
              </w:rPr>
            </w:pPr>
            <w:r w:rsidRPr="008B5FD4">
              <w:rPr>
                <w:b/>
                <w:sz w:val="20"/>
              </w:rPr>
              <w:t>Change in market</w:t>
            </w:r>
          </w:p>
          <w:p w:rsidR="00CE58F0" w:rsidRPr="008B5FD4" w:rsidRDefault="00CE58F0" w:rsidP="00413B8D">
            <w:pPr>
              <w:jc w:val="right"/>
              <w:rPr>
                <w:b/>
                <w:sz w:val="20"/>
              </w:rPr>
            </w:pPr>
            <w:r w:rsidRPr="008B5FD4">
              <w:rPr>
                <w:b/>
                <w:sz w:val="20"/>
              </w:rPr>
              <w:t xml:space="preserve"> value</w:t>
            </w:r>
          </w:p>
        </w:tc>
        <w:tc>
          <w:tcPr>
            <w:tcW w:w="1694" w:type="dxa"/>
            <w:gridSpan w:val="7"/>
          </w:tcPr>
          <w:p w:rsidR="00CE58F0" w:rsidRDefault="00CE58F0" w:rsidP="00413B8D">
            <w:pPr>
              <w:jc w:val="right"/>
              <w:rPr>
                <w:b/>
                <w:sz w:val="20"/>
              </w:rPr>
            </w:pPr>
            <w:r w:rsidRPr="008B5FD4">
              <w:rPr>
                <w:b/>
                <w:sz w:val="20"/>
              </w:rPr>
              <w:t xml:space="preserve">Market value at 31 March </w:t>
            </w:r>
          </w:p>
          <w:p w:rsidR="00CE58F0" w:rsidRPr="008B5FD4" w:rsidRDefault="00CE58F0" w:rsidP="00413B8D">
            <w:pPr>
              <w:jc w:val="right"/>
              <w:rPr>
                <w:b/>
                <w:sz w:val="20"/>
              </w:rPr>
            </w:pPr>
            <w:r w:rsidRPr="008B5FD4">
              <w:rPr>
                <w:b/>
                <w:sz w:val="20"/>
              </w:rPr>
              <w:t>201</w:t>
            </w:r>
            <w:r>
              <w:rPr>
                <w:b/>
                <w:sz w:val="20"/>
              </w:rPr>
              <w:t>3</w:t>
            </w:r>
          </w:p>
        </w:tc>
      </w:tr>
      <w:tr w:rsidR="00CE58F0" w:rsidRPr="008B5FD4" w:rsidTr="00413B8D">
        <w:trPr>
          <w:gridAfter w:val="1"/>
          <w:wAfter w:w="112" w:type="dxa"/>
        </w:trPr>
        <w:tc>
          <w:tcPr>
            <w:tcW w:w="2087" w:type="dxa"/>
            <w:gridSpan w:val="2"/>
          </w:tcPr>
          <w:p w:rsidR="00CE58F0" w:rsidRPr="008B5FD4" w:rsidRDefault="00CE58F0" w:rsidP="00413B8D">
            <w:pPr>
              <w:rPr>
                <w:b/>
                <w:sz w:val="20"/>
              </w:rPr>
            </w:pPr>
          </w:p>
        </w:tc>
        <w:tc>
          <w:tcPr>
            <w:tcW w:w="890" w:type="dxa"/>
            <w:gridSpan w:val="3"/>
            <w:tcBorders>
              <w:right w:val="single" w:sz="18" w:space="0" w:color="FFFFFF" w:themeColor="background1"/>
            </w:tcBorders>
          </w:tcPr>
          <w:p w:rsidR="00CE58F0" w:rsidRPr="008B5FD4" w:rsidRDefault="00CE58F0" w:rsidP="00413B8D">
            <w:pPr>
              <w:jc w:val="right"/>
              <w:rPr>
                <w:b/>
                <w:sz w:val="20"/>
              </w:rPr>
            </w:pPr>
          </w:p>
        </w:tc>
        <w:tc>
          <w:tcPr>
            <w:tcW w:w="993" w:type="dxa"/>
            <w:gridSpan w:val="3"/>
            <w:tcBorders>
              <w:left w:val="single" w:sz="18" w:space="0" w:color="FFFFFF" w:themeColor="background1"/>
            </w:tcBorders>
          </w:tcPr>
          <w:p w:rsidR="00CE58F0" w:rsidRPr="008B5FD4" w:rsidRDefault="00CE58F0" w:rsidP="00413B8D">
            <w:pPr>
              <w:jc w:val="right"/>
              <w:rPr>
                <w:b/>
                <w:sz w:val="20"/>
              </w:rPr>
            </w:pPr>
            <w:r w:rsidRPr="008B5FD4">
              <w:rPr>
                <w:b/>
                <w:sz w:val="20"/>
              </w:rPr>
              <w:t>£m</w:t>
            </w:r>
          </w:p>
        </w:tc>
        <w:tc>
          <w:tcPr>
            <w:tcW w:w="249" w:type="dxa"/>
            <w:tcBorders>
              <w:right w:val="single" w:sz="18" w:space="0" w:color="FFFFFF" w:themeColor="background1"/>
            </w:tcBorders>
          </w:tcPr>
          <w:p w:rsidR="00CE58F0" w:rsidRPr="008B5FD4" w:rsidRDefault="00CE58F0" w:rsidP="00413B8D">
            <w:pPr>
              <w:jc w:val="right"/>
              <w:rPr>
                <w:b/>
                <w:sz w:val="20"/>
              </w:rPr>
            </w:pPr>
          </w:p>
        </w:tc>
        <w:tc>
          <w:tcPr>
            <w:tcW w:w="1417" w:type="dxa"/>
            <w:gridSpan w:val="6"/>
            <w:tcBorders>
              <w:left w:val="single" w:sz="18" w:space="0" w:color="FFFFFF" w:themeColor="background1"/>
            </w:tcBorders>
          </w:tcPr>
          <w:p w:rsidR="00CE58F0" w:rsidRPr="008B5FD4" w:rsidRDefault="00CE58F0" w:rsidP="00413B8D">
            <w:pPr>
              <w:jc w:val="right"/>
              <w:rPr>
                <w:b/>
                <w:sz w:val="20"/>
              </w:rPr>
            </w:pPr>
            <w:r w:rsidRPr="008B5FD4">
              <w:rPr>
                <w:b/>
                <w:sz w:val="20"/>
              </w:rPr>
              <w:t>£</w:t>
            </w:r>
            <w:r>
              <w:rPr>
                <w:b/>
                <w:sz w:val="20"/>
              </w:rPr>
              <w:t>m</w:t>
            </w:r>
          </w:p>
        </w:tc>
        <w:tc>
          <w:tcPr>
            <w:tcW w:w="1667" w:type="dxa"/>
            <w:gridSpan w:val="3"/>
          </w:tcPr>
          <w:p w:rsidR="00CE58F0" w:rsidRPr="008B5FD4" w:rsidRDefault="00CE58F0" w:rsidP="00413B8D">
            <w:pPr>
              <w:jc w:val="right"/>
              <w:rPr>
                <w:b/>
                <w:sz w:val="20"/>
              </w:rPr>
            </w:pPr>
            <w:r w:rsidRPr="008B5FD4">
              <w:rPr>
                <w:b/>
                <w:sz w:val="20"/>
              </w:rPr>
              <w:t>£m</w:t>
            </w:r>
          </w:p>
        </w:tc>
        <w:tc>
          <w:tcPr>
            <w:tcW w:w="1735" w:type="dxa"/>
            <w:gridSpan w:val="3"/>
          </w:tcPr>
          <w:p w:rsidR="00CE58F0" w:rsidRPr="008B5FD4" w:rsidRDefault="00CE58F0" w:rsidP="00413B8D">
            <w:pPr>
              <w:jc w:val="right"/>
              <w:rPr>
                <w:b/>
                <w:sz w:val="20"/>
              </w:rPr>
            </w:pPr>
            <w:r w:rsidRPr="008B5FD4">
              <w:rPr>
                <w:b/>
                <w:sz w:val="20"/>
              </w:rPr>
              <w:t>£m</w:t>
            </w:r>
          </w:p>
        </w:tc>
        <w:tc>
          <w:tcPr>
            <w:tcW w:w="1694" w:type="dxa"/>
            <w:gridSpan w:val="7"/>
          </w:tcPr>
          <w:p w:rsidR="00CE58F0" w:rsidRDefault="00CE58F0" w:rsidP="00413B8D">
            <w:pPr>
              <w:jc w:val="right"/>
              <w:rPr>
                <w:b/>
                <w:sz w:val="20"/>
              </w:rPr>
            </w:pPr>
            <w:r w:rsidRPr="008B5FD4">
              <w:rPr>
                <w:b/>
                <w:sz w:val="20"/>
              </w:rPr>
              <w:t>£m</w:t>
            </w:r>
          </w:p>
          <w:p w:rsidR="00CE58F0" w:rsidRPr="008B5FD4" w:rsidRDefault="00CE58F0" w:rsidP="00413B8D">
            <w:pPr>
              <w:jc w:val="right"/>
              <w:rPr>
                <w:b/>
                <w:sz w:val="20"/>
              </w:rPr>
            </w:pPr>
          </w:p>
        </w:tc>
      </w:tr>
      <w:tr w:rsidR="00CE58F0" w:rsidTr="00413B8D">
        <w:trPr>
          <w:gridAfter w:val="1"/>
          <w:wAfter w:w="112" w:type="dxa"/>
        </w:trPr>
        <w:tc>
          <w:tcPr>
            <w:tcW w:w="2087" w:type="dxa"/>
            <w:gridSpan w:val="2"/>
          </w:tcPr>
          <w:p w:rsidR="00CE58F0" w:rsidRPr="000E6955" w:rsidRDefault="00CE58F0" w:rsidP="00413B8D">
            <w:pPr>
              <w:ind w:left="-108"/>
              <w:rPr>
                <w:sz w:val="20"/>
              </w:rPr>
            </w:pPr>
            <w:r>
              <w:rPr>
                <w:sz w:val="20"/>
              </w:rPr>
              <w:t>Fixed  interest securities</w:t>
            </w:r>
          </w:p>
        </w:tc>
        <w:tc>
          <w:tcPr>
            <w:tcW w:w="749" w:type="dxa"/>
            <w:gridSpan w:val="2"/>
            <w:tcBorders>
              <w:right w:val="single" w:sz="18" w:space="0" w:color="FFFFFF" w:themeColor="background1"/>
            </w:tcBorders>
          </w:tcPr>
          <w:p w:rsidR="00CE58F0" w:rsidRDefault="00CE58F0" w:rsidP="00413B8D">
            <w:pPr>
              <w:ind w:left="-108"/>
              <w:jc w:val="right"/>
              <w:rPr>
                <w:sz w:val="20"/>
              </w:rPr>
            </w:pPr>
          </w:p>
        </w:tc>
        <w:tc>
          <w:tcPr>
            <w:tcW w:w="1134" w:type="dxa"/>
            <w:gridSpan w:val="4"/>
            <w:tcBorders>
              <w:left w:val="single" w:sz="18" w:space="0" w:color="FFFFFF" w:themeColor="background1"/>
            </w:tcBorders>
          </w:tcPr>
          <w:p w:rsidR="00CE58F0" w:rsidRDefault="00CE58F0" w:rsidP="00413B8D">
            <w:pPr>
              <w:jc w:val="right"/>
              <w:rPr>
                <w:sz w:val="20"/>
              </w:rPr>
            </w:pPr>
            <w:r>
              <w:rPr>
                <w:sz w:val="20"/>
              </w:rPr>
              <w:t>623.4</w:t>
            </w:r>
          </w:p>
        </w:tc>
        <w:tc>
          <w:tcPr>
            <w:tcW w:w="249" w:type="dxa"/>
            <w:tcBorders>
              <w:right w:val="single" w:sz="18" w:space="0" w:color="FFFFFF" w:themeColor="background1"/>
            </w:tcBorders>
          </w:tcPr>
          <w:p w:rsidR="00CE58F0" w:rsidRDefault="00CE58F0" w:rsidP="00413B8D">
            <w:pPr>
              <w:jc w:val="right"/>
              <w:rPr>
                <w:sz w:val="20"/>
              </w:rPr>
            </w:pPr>
          </w:p>
        </w:tc>
        <w:tc>
          <w:tcPr>
            <w:tcW w:w="1244" w:type="dxa"/>
            <w:gridSpan w:val="2"/>
            <w:tcBorders>
              <w:left w:val="single" w:sz="18" w:space="0" w:color="FFFFFF" w:themeColor="background1"/>
            </w:tcBorders>
          </w:tcPr>
          <w:p w:rsidR="00CE58F0" w:rsidRDefault="00CE58F0" w:rsidP="00413B8D">
            <w:pPr>
              <w:jc w:val="right"/>
              <w:rPr>
                <w:sz w:val="20"/>
              </w:rPr>
            </w:pPr>
            <w:r>
              <w:rPr>
                <w:sz w:val="20"/>
              </w:rPr>
              <w:t>501.1</w:t>
            </w:r>
          </w:p>
        </w:tc>
        <w:tc>
          <w:tcPr>
            <w:tcW w:w="1840" w:type="dxa"/>
            <w:gridSpan w:val="7"/>
          </w:tcPr>
          <w:p w:rsidR="00CE58F0" w:rsidRDefault="00CE58F0" w:rsidP="00413B8D">
            <w:pPr>
              <w:jc w:val="right"/>
              <w:rPr>
                <w:sz w:val="20"/>
              </w:rPr>
            </w:pPr>
            <w:r>
              <w:rPr>
                <w:sz w:val="20"/>
              </w:rPr>
              <w:t>(471.9)</w:t>
            </w:r>
          </w:p>
        </w:tc>
        <w:tc>
          <w:tcPr>
            <w:tcW w:w="885" w:type="dxa"/>
            <w:gridSpan w:val="2"/>
            <w:tcBorders>
              <w:right w:val="single" w:sz="18" w:space="0" w:color="FFFFFF" w:themeColor="background1"/>
            </w:tcBorders>
          </w:tcPr>
          <w:p w:rsidR="00CE58F0" w:rsidRDefault="00CE58F0" w:rsidP="00413B8D">
            <w:pPr>
              <w:jc w:val="center"/>
              <w:rPr>
                <w:sz w:val="20"/>
              </w:rPr>
            </w:pPr>
          </w:p>
        </w:tc>
        <w:tc>
          <w:tcPr>
            <w:tcW w:w="850" w:type="dxa"/>
            <w:tcBorders>
              <w:left w:val="single" w:sz="18" w:space="0" w:color="FFFFFF" w:themeColor="background1"/>
            </w:tcBorders>
          </w:tcPr>
          <w:p w:rsidR="00CE58F0" w:rsidRDefault="00CE58F0" w:rsidP="00413B8D">
            <w:pPr>
              <w:jc w:val="right"/>
              <w:rPr>
                <w:sz w:val="20"/>
              </w:rPr>
            </w:pPr>
            <w:r>
              <w:rPr>
                <w:sz w:val="20"/>
              </w:rPr>
              <w:t>191.0</w:t>
            </w:r>
          </w:p>
        </w:tc>
        <w:tc>
          <w:tcPr>
            <w:tcW w:w="841" w:type="dxa"/>
            <w:gridSpan w:val="5"/>
            <w:tcBorders>
              <w:right w:val="single" w:sz="18" w:space="0" w:color="FFFFFF" w:themeColor="background1"/>
            </w:tcBorders>
          </w:tcPr>
          <w:p w:rsidR="00CE58F0" w:rsidRDefault="00CE58F0" w:rsidP="00413B8D">
            <w:pPr>
              <w:jc w:val="right"/>
              <w:rPr>
                <w:sz w:val="20"/>
              </w:rPr>
            </w:pPr>
          </w:p>
        </w:tc>
        <w:tc>
          <w:tcPr>
            <w:tcW w:w="853" w:type="dxa"/>
            <w:gridSpan w:val="2"/>
            <w:tcBorders>
              <w:left w:val="single" w:sz="18" w:space="0" w:color="FFFFFF" w:themeColor="background1"/>
            </w:tcBorders>
          </w:tcPr>
          <w:p w:rsidR="00CE58F0" w:rsidRDefault="00CE58F0" w:rsidP="00413B8D">
            <w:pPr>
              <w:jc w:val="right"/>
              <w:rPr>
                <w:sz w:val="20"/>
              </w:rPr>
            </w:pPr>
            <w:r>
              <w:rPr>
                <w:sz w:val="20"/>
              </w:rPr>
              <w:t>843.6</w:t>
            </w:r>
          </w:p>
        </w:tc>
      </w:tr>
      <w:tr w:rsidR="00CE58F0" w:rsidTr="00413B8D">
        <w:trPr>
          <w:gridAfter w:val="1"/>
          <w:wAfter w:w="112" w:type="dxa"/>
        </w:trPr>
        <w:tc>
          <w:tcPr>
            <w:tcW w:w="2087" w:type="dxa"/>
            <w:gridSpan w:val="2"/>
          </w:tcPr>
          <w:p w:rsidR="00CE58F0" w:rsidRDefault="00CE58F0" w:rsidP="00413B8D">
            <w:pPr>
              <w:ind w:left="-108"/>
              <w:rPr>
                <w:sz w:val="20"/>
              </w:rPr>
            </w:pPr>
            <w:r>
              <w:rPr>
                <w:sz w:val="20"/>
              </w:rPr>
              <w:t>Equities</w:t>
            </w:r>
          </w:p>
        </w:tc>
        <w:tc>
          <w:tcPr>
            <w:tcW w:w="749" w:type="dxa"/>
            <w:gridSpan w:val="2"/>
            <w:tcBorders>
              <w:right w:val="single" w:sz="18" w:space="0" w:color="FFFFFF" w:themeColor="background1"/>
            </w:tcBorders>
          </w:tcPr>
          <w:p w:rsidR="00CE58F0" w:rsidRDefault="00CE58F0" w:rsidP="00413B8D">
            <w:pPr>
              <w:ind w:left="-108"/>
              <w:jc w:val="right"/>
              <w:rPr>
                <w:sz w:val="20"/>
              </w:rPr>
            </w:pPr>
          </w:p>
        </w:tc>
        <w:tc>
          <w:tcPr>
            <w:tcW w:w="1134" w:type="dxa"/>
            <w:gridSpan w:val="4"/>
            <w:tcBorders>
              <w:left w:val="single" w:sz="18" w:space="0" w:color="FFFFFF" w:themeColor="background1"/>
            </w:tcBorders>
          </w:tcPr>
          <w:p w:rsidR="00CE58F0" w:rsidRDefault="00CE58F0" w:rsidP="00413B8D">
            <w:pPr>
              <w:jc w:val="right"/>
              <w:rPr>
                <w:sz w:val="20"/>
              </w:rPr>
            </w:pPr>
            <w:r>
              <w:rPr>
                <w:sz w:val="20"/>
              </w:rPr>
              <w:t>1,613.7</w:t>
            </w:r>
          </w:p>
        </w:tc>
        <w:tc>
          <w:tcPr>
            <w:tcW w:w="249" w:type="dxa"/>
            <w:tcBorders>
              <w:right w:val="single" w:sz="18" w:space="0" w:color="FFFFFF" w:themeColor="background1"/>
            </w:tcBorders>
          </w:tcPr>
          <w:p w:rsidR="00CE58F0" w:rsidRDefault="00CE58F0" w:rsidP="00413B8D">
            <w:pPr>
              <w:jc w:val="right"/>
              <w:rPr>
                <w:sz w:val="20"/>
              </w:rPr>
            </w:pPr>
          </w:p>
        </w:tc>
        <w:tc>
          <w:tcPr>
            <w:tcW w:w="1244" w:type="dxa"/>
            <w:gridSpan w:val="2"/>
            <w:tcBorders>
              <w:left w:val="single" w:sz="18" w:space="0" w:color="FFFFFF" w:themeColor="background1"/>
            </w:tcBorders>
          </w:tcPr>
          <w:p w:rsidR="00CE58F0" w:rsidRDefault="00CE58F0" w:rsidP="00413B8D">
            <w:pPr>
              <w:jc w:val="right"/>
              <w:rPr>
                <w:sz w:val="20"/>
              </w:rPr>
            </w:pPr>
            <w:r>
              <w:rPr>
                <w:sz w:val="20"/>
              </w:rPr>
              <w:t>1,409.8</w:t>
            </w:r>
          </w:p>
        </w:tc>
        <w:tc>
          <w:tcPr>
            <w:tcW w:w="1840" w:type="dxa"/>
            <w:gridSpan w:val="7"/>
          </w:tcPr>
          <w:p w:rsidR="00CE58F0" w:rsidRDefault="00CE58F0" w:rsidP="00413B8D">
            <w:pPr>
              <w:jc w:val="right"/>
              <w:rPr>
                <w:sz w:val="20"/>
              </w:rPr>
            </w:pPr>
            <w:r>
              <w:rPr>
                <w:sz w:val="20"/>
              </w:rPr>
              <w:t>(1,581.2)</w:t>
            </w:r>
          </w:p>
        </w:tc>
        <w:tc>
          <w:tcPr>
            <w:tcW w:w="885" w:type="dxa"/>
            <w:gridSpan w:val="2"/>
            <w:tcBorders>
              <w:right w:val="single" w:sz="18" w:space="0" w:color="FFFFFF" w:themeColor="background1"/>
            </w:tcBorders>
          </w:tcPr>
          <w:p w:rsidR="00CE58F0" w:rsidRDefault="00CE58F0" w:rsidP="00413B8D">
            <w:pPr>
              <w:jc w:val="right"/>
              <w:rPr>
                <w:sz w:val="20"/>
              </w:rPr>
            </w:pPr>
          </w:p>
        </w:tc>
        <w:tc>
          <w:tcPr>
            <w:tcW w:w="850" w:type="dxa"/>
            <w:tcBorders>
              <w:left w:val="single" w:sz="18" w:space="0" w:color="FFFFFF" w:themeColor="background1"/>
            </w:tcBorders>
          </w:tcPr>
          <w:p w:rsidR="00CE58F0" w:rsidRDefault="00CE58F0" w:rsidP="00413B8D">
            <w:pPr>
              <w:jc w:val="right"/>
              <w:rPr>
                <w:sz w:val="20"/>
              </w:rPr>
            </w:pPr>
            <w:r>
              <w:rPr>
                <w:sz w:val="20"/>
              </w:rPr>
              <w:t>307.0</w:t>
            </w:r>
          </w:p>
        </w:tc>
        <w:tc>
          <w:tcPr>
            <w:tcW w:w="1694" w:type="dxa"/>
            <w:gridSpan w:val="7"/>
          </w:tcPr>
          <w:p w:rsidR="00CE58F0" w:rsidRDefault="00CE58F0" w:rsidP="00413B8D">
            <w:pPr>
              <w:jc w:val="right"/>
              <w:rPr>
                <w:sz w:val="20"/>
              </w:rPr>
            </w:pPr>
            <w:r>
              <w:rPr>
                <w:sz w:val="20"/>
              </w:rPr>
              <w:t>1,749.3</w:t>
            </w:r>
          </w:p>
        </w:tc>
      </w:tr>
      <w:tr w:rsidR="00CE58F0" w:rsidTr="00413B8D">
        <w:trPr>
          <w:gridAfter w:val="1"/>
          <w:wAfter w:w="112" w:type="dxa"/>
        </w:trPr>
        <w:tc>
          <w:tcPr>
            <w:tcW w:w="2087" w:type="dxa"/>
            <w:gridSpan w:val="2"/>
          </w:tcPr>
          <w:p w:rsidR="00CE58F0" w:rsidRDefault="00CE58F0" w:rsidP="00413B8D">
            <w:pPr>
              <w:ind w:left="-108"/>
              <w:rPr>
                <w:sz w:val="20"/>
              </w:rPr>
            </w:pPr>
            <w:r>
              <w:rPr>
                <w:sz w:val="20"/>
              </w:rPr>
              <w:t>Index linked securities</w:t>
            </w:r>
          </w:p>
        </w:tc>
        <w:tc>
          <w:tcPr>
            <w:tcW w:w="749" w:type="dxa"/>
            <w:gridSpan w:val="2"/>
            <w:tcBorders>
              <w:right w:val="single" w:sz="18" w:space="0" w:color="FFFFFF" w:themeColor="background1"/>
            </w:tcBorders>
          </w:tcPr>
          <w:p w:rsidR="00CE58F0" w:rsidRDefault="00CE58F0" w:rsidP="00413B8D">
            <w:pPr>
              <w:ind w:left="-108"/>
              <w:jc w:val="right"/>
              <w:rPr>
                <w:sz w:val="20"/>
              </w:rPr>
            </w:pPr>
          </w:p>
        </w:tc>
        <w:tc>
          <w:tcPr>
            <w:tcW w:w="1134" w:type="dxa"/>
            <w:gridSpan w:val="4"/>
            <w:tcBorders>
              <w:left w:val="single" w:sz="18" w:space="0" w:color="FFFFFF" w:themeColor="background1"/>
            </w:tcBorders>
          </w:tcPr>
          <w:p w:rsidR="00CE58F0" w:rsidRDefault="00CE58F0" w:rsidP="00413B8D">
            <w:pPr>
              <w:jc w:val="right"/>
              <w:rPr>
                <w:sz w:val="20"/>
              </w:rPr>
            </w:pPr>
            <w:r>
              <w:rPr>
                <w:sz w:val="20"/>
              </w:rPr>
              <w:t>124.6</w:t>
            </w:r>
          </w:p>
        </w:tc>
        <w:tc>
          <w:tcPr>
            <w:tcW w:w="249" w:type="dxa"/>
            <w:tcBorders>
              <w:right w:val="single" w:sz="18" w:space="0" w:color="FFFFFF" w:themeColor="background1"/>
            </w:tcBorders>
          </w:tcPr>
          <w:p w:rsidR="00CE58F0" w:rsidRDefault="00CE58F0" w:rsidP="00413B8D">
            <w:pPr>
              <w:jc w:val="right"/>
              <w:rPr>
                <w:sz w:val="20"/>
              </w:rPr>
            </w:pPr>
          </w:p>
        </w:tc>
        <w:tc>
          <w:tcPr>
            <w:tcW w:w="1244" w:type="dxa"/>
            <w:gridSpan w:val="2"/>
            <w:tcBorders>
              <w:left w:val="single" w:sz="18" w:space="0" w:color="FFFFFF" w:themeColor="background1"/>
            </w:tcBorders>
          </w:tcPr>
          <w:p w:rsidR="00CE58F0" w:rsidRDefault="00CE58F0" w:rsidP="00413B8D">
            <w:pPr>
              <w:jc w:val="right"/>
              <w:rPr>
                <w:sz w:val="20"/>
              </w:rPr>
            </w:pPr>
            <w:r>
              <w:rPr>
                <w:sz w:val="20"/>
              </w:rPr>
              <w:t>16.1</w:t>
            </w:r>
          </w:p>
        </w:tc>
        <w:tc>
          <w:tcPr>
            <w:tcW w:w="1840" w:type="dxa"/>
            <w:gridSpan w:val="7"/>
          </w:tcPr>
          <w:p w:rsidR="00CE58F0" w:rsidRDefault="00CE58F0" w:rsidP="00413B8D">
            <w:pPr>
              <w:jc w:val="right"/>
              <w:rPr>
                <w:sz w:val="20"/>
              </w:rPr>
            </w:pPr>
            <w:r>
              <w:rPr>
                <w:sz w:val="20"/>
              </w:rPr>
              <w:t>(29.1)</w:t>
            </w:r>
          </w:p>
        </w:tc>
        <w:tc>
          <w:tcPr>
            <w:tcW w:w="885" w:type="dxa"/>
            <w:gridSpan w:val="2"/>
            <w:tcBorders>
              <w:right w:val="single" w:sz="18" w:space="0" w:color="FFFFFF" w:themeColor="background1"/>
            </w:tcBorders>
          </w:tcPr>
          <w:p w:rsidR="00CE58F0" w:rsidRDefault="00CE58F0" w:rsidP="00413B8D">
            <w:pPr>
              <w:jc w:val="right"/>
              <w:rPr>
                <w:sz w:val="20"/>
              </w:rPr>
            </w:pPr>
          </w:p>
        </w:tc>
        <w:tc>
          <w:tcPr>
            <w:tcW w:w="850" w:type="dxa"/>
            <w:tcBorders>
              <w:left w:val="single" w:sz="18" w:space="0" w:color="FFFFFF" w:themeColor="background1"/>
            </w:tcBorders>
            <w:vAlign w:val="bottom"/>
          </w:tcPr>
          <w:p w:rsidR="00CE58F0" w:rsidRDefault="00CE58F0" w:rsidP="00413B8D">
            <w:pPr>
              <w:jc w:val="right"/>
              <w:rPr>
                <w:sz w:val="20"/>
              </w:rPr>
            </w:pPr>
            <w:r>
              <w:rPr>
                <w:sz w:val="20"/>
              </w:rPr>
              <w:t xml:space="preserve"> 53.3</w:t>
            </w:r>
          </w:p>
        </w:tc>
        <w:tc>
          <w:tcPr>
            <w:tcW w:w="841" w:type="dxa"/>
            <w:gridSpan w:val="5"/>
            <w:tcBorders>
              <w:right w:val="single" w:sz="18" w:space="0" w:color="FFFFFF" w:themeColor="background1"/>
            </w:tcBorders>
            <w:vAlign w:val="bottom"/>
          </w:tcPr>
          <w:p w:rsidR="00CE58F0" w:rsidRDefault="00CE58F0" w:rsidP="00413B8D">
            <w:pPr>
              <w:jc w:val="right"/>
              <w:rPr>
                <w:sz w:val="20"/>
              </w:rPr>
            </w:pPr>
          </w:p>
        </w:tc>
        <w:tc>
          <w:tcPr>
            <w:tcW w:w="853" w:type="dxa"/>
            <w:gridSpan w:val="2"/>
            <w:tcBorders>
              <w:left w:val="single" w:sz="18" w:space="0" w:color="FFFFFF" w:themeColor="background1"/>
            </w:tcBorders>
          </w:tcPr>
          <w:p w:rsidR="00CE58F0" w:rsidRDefault="00CE58F0" w:rsidP="00413B8D">
            <w:pPr>
              <w:jc w:val="right"/>
              <w:rPr>
                <w:sz w:val="20"/>
              </w:rPr>
            </w:pPr>
            <w:r>
              <w:rPr>
                <w:sz w:val="20"/>
              </w:rPr>
              <w:t>164.9</w:t>
            </w:r>
          </w:p>
        </w:tc>
      </w:tr>
      <w:tr w:rsidR="00CE58F0" w:rsidTr="00413B8D">
        <w:trPr>
          <w:gridAfter w:val="1"/>
          <w:wAfter w:w="112" w:type="dxa"/>
        </w:trPr>
        <w:tc>
          <w:tcPr>
            <w:tcW w:w="2087" w:type="dxa"/>
            <w:gridSpan w:val="2"/>
          </w:tcPr>
          <w:p w:rsidR="00CE58F0" w:rsidRDefault="00CE58F0" w:rsidP="00413B8D">
            <w:pPr>
              <w:ind w:left="-108"/>
              <w:rPr>
                <w:sz w:val="20"/>
              </w:rPr>
            </w:pPr>
            <w:r>
              <w:rPr>
                <w:sz w:val="20"/>
              </w:rPr>
              <w:lastRenderedPageBreak/>
              <w:t>Pooled investments</w:t>
            </w:r>
          </w:p>
        </w:tc>
        <w:tc>
          <w:tcPr>
            <w:tcW w:w="749" w:type="dxa"/>
            <w:gridSpan w:val="2"/>
            <w:tcBorders>
              <w:right w:val="single" w:sz="18" w:space="0" w:color="FFFFFF" w:themeColor="background1"/>
            </w:tcBorders>
          </w:tcPr>
          <w:p w:rsidR="00CE58F0" w:rsidRDefault="00CE58F0" w:rsidP="00413B8D">
            <w:pPr>
              <w:ind w:left="-108"/>
              <w:jc w:val="right"/>
              <w:rPr>
                <w:sz w:val="20"/>
              </w:rPr>
            </w:pPr>
          </w:p>
        </w:tc>
        <w:tc>
          <w:tcPr>
            <w:tcW w:w="1134" w:type="dxa"/>
            <w:gridSpan w:val="4"/>
            <w:tcBorders>
              <w:left w:val="single" w:sz="18" w:space="0" w:color="FFFFFF" w:themeColor="background1"/>
            </w:tcBorders>
          </w:tcPr>
          <w:p w:rsidR="00CE58F0" w:rsidRDefault="00CE58F0" w:rsidP="00413B8D">
            <w:pPr>
              <w:jc w:val="right"/>
              <w:rPr>
                <w:sz w:val="20"/>
              </w:rPr>
            </w:pPr>
            <w:r>
              <w:rPr>
                <w:sz w:val="20"/>
              </w:rPr>
              <w:t>1,466.3</w:t>
            </w:r>
          </w:p>
        </w:tc>
        <w:tc>
          <w:tcPr>
            <w:tcW w:w="249" w:type="dxa"/>
            <w:tcBorders>
              <w:right w:val="single" w:sz="18" w:space="0" w:color="FFFFFF" w:themeColor="background1"/>
            </w:tcBorders>
          </w:tcPr>
          <w:p w:rsidR="00CE58F0" w:rsidRDefault="00CE58F0" w:rsidP="00413B8D">
            <w:pPr>
              <w:jc w:val="right"/>
              <w:rPr>
                <w:sz w:val="20"/>
              </w:rPr>
            </w:pPr>
          </w:p>
        </w:tc>
        <w:tc>
          <w:tcPr>
            <w:tcW w:w="1244" w:type="dxa"/>
            <w:gridSpan w:val="2"/>
            <w:tcBorders>
              <w:left w:val="single" w:sz="18" w:space="0" w:color="FFFFFF" w:themeColor="background1"/>
            </w:tcBorders>
          </w:tcPr>
          <w:p w:rsidR="00CE58F0" w:rsidRDefault="00CE58F0" w:rsidP="00413B8D">
            <w:pPr>
              <w:jc w:val="right"/>
              <w:rPr>
                <w:sz w:val="20"/>
              </w:rPr>
            </w:pPr>
            <w:r>
              <w:rPr>
                <w:sz w:val="20"/>
              </w:rPr>
              <w:t>696.6</w:t>
            </w:r>
          </w:p>
        </w:tc>
        <w:tc>
          <w:tcPr>
            <w:tcW w:w="1840" w:type="dxa"/>
            <w:gridSpan w:val="7"/>
          </w:tcPr>
          <w:p w:rsidR="00CE58F0" w:rsidRDefault="00CE58F0" w:rsidP="00413B8D">
            <w:pPr>
              <w:jc w:val="right"/>
              <w:rPr>
                <w:sz w:val="20"/>
              </w:rPr>
            </w:pPr>
            <w:r>
              <w:rPr>
                <w:sz w:val="20"/>
              </w:rPr>
              <w:t>(558.9)</w:t>
            </w:r>
          </w:p>
        </w:tc>
        <w:tc>
          <w:tcPr>
            <w:tcW w:w="885" w:type="dxa"/>
            <w:gridSpan w:val="2"/>
            <w:tcBorders>
              <w:right w:val="single" w:sz="18" w:space="0" w:color="FFFFFF" w:themeColor="background1"/>
            </w:tcBorders>
          </w:tcPr>
          <w:p w:rsidR="00CE58F0" w:rsidRDefault="00CE58F0" w:rsidP="00413B8D">
            <w:pPr>
              <w:jc w:val="right"/>
              <w:rPr>
                <w:sz w:val="20"/>
              </w:rPr>
            </w:pPr>
          </w:p>
        </w:tc>
        <w:tc>
          <w:tcPr>
            <w:tcW w:w="850" w:type="dxa"/>
            <w:tcBorders>
              <w:left w:val="single" w:sz="18" w:space="0" w:color="FFFFFF" w:themeColor="background1"/>
            </w:tcBorders>
          </w:tcPr>
          <w:p w:rsidR="00CE58F0" w:rsidRDefault="00CE58F0" w:rsidP="00413B8D">
            <w:pPr>
              <w:jc w:val="right"/>
              <w:rPr>
                <w:sz w:val="20"/>
              </w:rPr>
            </w:pPr>
            <w:r>
              <w:rPr>
                <w:sz w:val="20"/>
              </w:rPr>
              <w:t>(2.8)</w:t>
            </w:r>
          </w:p>
        </w:tc>
        <w:tc>
          <w:tcPr>
            <w:tcW w:w="1694" w:type="dxa"/>
            <w:gridSpan w:val="7"/>
          </w:tcPr>
          <w:p w:rsidR="00CE58F0" w:rsidRDefault="00CE58F0" w:rsidP="00413B8D">
            <w:pPr>
              <w:jc w:val="right"/>
              <w:rPr>
                <w:sz w:val="20"/>
              </w:rPr>
            </w:pPr>
            <w:r>
              <w:rPr>
                <w:sz w:val="20"/>
              </w:rPr>
              <w:t>1,601.2</w:t>
            </w:r>
          </w:p>
        </w:tc>
      </w:tr>
      <w:tr w:rsidR="00CE58F0" w:rsidTr="00413B8D">
        <w:trPr>
          <w:gridAfter w:val="1"/>
          <w:wAfter w:w="112" w:type="dxa"/>
        </w:trPr>
        <w:tc>
          <w:tcPr>
            <w:tcW w:w="2087" w:type="dxa"/>
            <w:gridSpan w:val="2"/>
          </w:tcPr>
          <w:p w:rsidR="00CE58F0" w:rsidRDefault="00CE58F0" w:rsidP="00413B8D">
            <w:pPr>
              <w:ind w:left="-108"/>
              <w:rPr>
                <w:sz w:val="20"/>
              </w:rPr>
            </w:pPr>
            <w:r>
              <w:rPr>
                <w:sz w:val="20"/>
              </w:rPr>
              <w:t>Property</w:t>
            </w:r>
          </w:p>
        </w:tc>
        <w:tc>
          <w:tcPr>
            <w:tcW w:w="749" w:type="dxa"/>
            <w:gridSpan w:val="2"/>
            <w:vMerge w:val="restart"/>
            <w:tcBorders>
              <w:right w:val="single" w:sz="18" w:space="0" w:color="FFFFFF" w:themeColor="background1"/>
            </w:tcBorders>
          </w:tcPr>
          <w:p w:rsidR="00CE58F0" w:rsidRDefault="00CE58F0" w:rsidP="00413B8D">
            <w:pPr>
              <w:ind w:left="-108"/>
              <w:jc w:val="right"/>
              <w:rPr>
                <w:sz w:val="20"/>
              </w:rPr>
            </w:pPr>
          </w:p>
        </w:tc>
        <w:tc>
          <w:tcPr>
            <w:tcW w:w="1134" w:type="dxa"/>
            <w:gridSpan w:val="4"/>
            <w:tcBorders>
              <w:left w:val="single" w:sz="18" w:space="0" w:color="FFFFFF" w:themeColor="background1"/>
              <w:bottom w:val="single" w:sz="18" w:space="0" w:color="auto"/>
            </w:tcBorders>
          </w:tcPr>
          <w:p w:rsidR="00CE58F0" w:rsidRDefault="00CE58F0" w:rsidP="00413B8D">
            <w:pPr>
              <w:jc w:val="right"/>
              <w:rPr>
                <w:sz w:val="20"/>
              </w:rPr>
            </w:pPr>
            <w:r>
              <w:rPr>
                <w:sz w:val="20"/>
              </w:rPr>
              <w:t>383.9</w:t>
            </w:r>
          </w:p>
        </w:tc>
        <w:tc>
          <w:tcPr>
            <w:tcW w:w="249" w:type="dxa"/>
            <w:tcBorders>
              <w:bottom w:val="single" w:sz="18" w:space="0" w:color="auto"/>
              <w:right w:val="single" w:sz="18" w:space="0" w:color="FFFFFF" w:themeColor="background1"/>
            </w:tcBorders>
          </w:tcPr>
          <w:p w:rsidR="00CE58F0" w:rsidRDefault="00CE58F0" w:rsidP="00413B8D">
            <w:pPr>
              <w:jc w:val="right"/>
              <w:rPr>
                <w:sz w:val="20"/>
              </w:rPr>
            </w:pPr>
          </w:p>
        </w:tc>
        <w:tc>
          <w:tcPr>
            <w:tcW w:w="1244" w:type="dxa"/>
            <w:gridSpan w:val="2"/>
            <w:tcBorders>
              <w:left w:val="single" w:sz="18" w:space="0" w:color="FFFFFF" w:themeColor="background1"/>
              <w:bottom w:val="single" w:sz="18" w:space="0" w:color="auto"/>
            </w:tcBorders>
          </w:tcPr>
          <w:p w:rsidR="00CE58F0" w:rsidRDefault="00CE58F0" w:rsidP="00413B8D">
            <w:pPr>
              <w:jc w:val="right"/>
              <w:rPr>
                <w:sz w:val="20"/>
              </w:rPr>
            </w:pPr>
            <w:r>
              <w:rPr>
                <w:sz w:val="20"/>
              </w:rPr>
              <w:t>72.1</w:t>
            </w:r>
          </w:p>
        </w:tc>
        <w:tc>
          <w:tcPr>
            <w:tcW w:w="1840" w:type="dxa"/>
            <w:gridSpan w:val="7"/>
            <w:tcBorders>
              <w:bottom w:val="single" w:sz="18" w:space="0" w:color="auto"/>
            </w:tcBorders>
          </w:tcPr>
          <w:p w:rsidR="00CE58F0" w:rsidRDefault="00CE58F0" w:rsidP="00413B8D">
            <w:pPr>
              <w:jc w:val="right"/>
              <w:rPr>
                <w:sz w:val="20"/>
              </w:rPr>
            </w:pPr>
            <w:r>
              <w:rPr>
                <w:sz w:val="20"/>
              </w:rPr>
              <w:t>(5.3)</w:t>
            </w:r>
          </w:p>
        </w:tc>
        <w:tc>
          <w:tcPr>
            <w:tcW w:w="885" w:type="dxa"/>
            <w:gridSpan w:val="2"/>
            <w:tcBorders>
              <w:bottom w:val="single" w:sz="18" w:space="0" w:color="auto"/>
              <w:right w:val="single" w:sz="18" w:space="0" w:color="FFFFFF" w:themeColor="background1"/>
            </w:tcBorders>
          </w:tcPr>
          <w:p w:rsidR="00CE58F0" w:rsidRDefault="00CE58F0" w:rsidP="00413B8D">
            <w:pPr>
              <w:jc w:val="right"/>
              <w:rPr>
                <w:sz w:val="20"/>
              </w:rPr>
            </w:pPr>
          </w:p>
        </w:tc>
        <w:tc>
          <w:tcPr>
            <w:tcW w:w="850" w:type="dxa"/>
            <w:tcBorders>
              <w:left w:val="single" w:sz="18" w:space="0" w:color="FFFFFF" w:themeColor="background1"/>
              <w:bottom w:val="single" w:sz="18" w:space="0" w:color="auto"/>
            </w:tcBorders>
          </w:tcPr>
          <w:p w:rsidR="00CE58F0" w:rsidRDefault="00CE58F0" w:rsidP="00413B8D">
            <w:pPr>
              <w:jc w:val="right"/>
              <w:rPr>
                <w:sz w:val="20"/>
              </w:rPr>
            </w:pPr>
            <w:r>
              <w:rPr>
                <w:sz w:val="20"/>
              </w:rPr>
              <w:t>(15.8)</w:t>
            </w:r>
          </w:p>
        </w:tc>
        <w:tc>
          <w:tcPr>
            <w:tcW w:w="841" w:type="dxa"/>
            <w:gridSpan w:val="5"/>
            <w:tcBorders>
              <w:bottom w:val="single" w:sz="18" w:space="0" w:color="auto"/>
              <w:right w:val="single" w:sz="18" w:space="0" w:color="FFFFFF" w:themeColor="background1"/>
            </w:tcBorders>
          </w:tcPr>
          <w:p w:rsidR="00CE58F0" w:rsidRDefault="00CE58F0" w:rsidP="00413B8D">
            <w:pPr>
              <w:jc w:val="right"/>
              <w:rPr>
                <w:sz w:val="20"/>
              </w:rPr>
            </w:pPr>
          </w:p>
        </w:tc>
        <w:tc>
          <w:tcPr>
            <w:tcW w:w="853" w:type="dxa"/>
            <w:gridSpan w:val="2"/>
            <w:tcBorders>
              <w:left w:val="single" w:sz="18" w:space="0" w:color="FFFFFF" w:themeColor="background1"/>
              <w:bottom w:val="single" w:sz="18" w:space="0" w:color="auto"/>
            </w:tcBorders>
          </w:tcPr>
          <w:p w:rsidR="00CE58F0" w:rsidRDefault="00CE58F0" w:rsidP="00413B8D">
            <w:pPr>
              <w:jc w:val="right"/>
              <w:rPr>
                <w:sz w:val="20"/>
              </w:rPr>
            </w:pPr>
            <w:r>
              <w:rPr>
                <w:sz w:val="20"/>
              </w:rPr>
              <w:t>434.9</w:t>
            </w:r>
          </w:p>
        </w:tc>
      </w:tr>
      <w:tr w:rsidR="00CE58F0" w:rsidTr="00413B8D">
        <w:trPr>
          <w:gridAfter w:val="1"/>
          <w:wAfter w:w="112" w:type="dxa"/>
          <w:trHeight w:val="210"/>
        </w:trPr>
        <w:tc>
          <w:tcPr>
            <w:tcW w:w="2087" w:type="dxa"/>
            <w:gridSpan w:val="2"/>
          </w:tcPr>
          <w:p w:rsidR="00CE58F0" w:rsidRDefault="00CE58F0" w:rsidP="00413B8D">
            <w:pPr>
              <w:ind w:left="-108"/>
              <w:rPr>
                <w:sz w:val="20"/>
              </w:rPr>
            </w:pPr>
          </w:p>
        </w:tc>
        <w:tc>
          <w:tcPr>
            <w:tcW w:w="749" w:type="dxa"/>
            <w:gridSpan w:val="2"/>
            <w:vMerge/>
            <w:tcBorders>
              <w:right w:val="single" w:sz="18" w:space="0" w:color="FFFFFF" w:themeColor="background1"/>
            </w:tcBorders>
          </w:tcPr>
          <w:p w:rsidR="00CE58F0" w:rsidRDefault="00CE58F0" w:rsidP="00413B8D">
            <w:pPr>
              <w:ind w:left="-108"/>
              <w:jc w:val="right"/>
              <w:rPr>
                <w:sz w:val="20"/>
              </w:rPr>
            </w:pPr>
          </w:p>
        </w:tc>
        <w:tc>
          <w:tcPr>
            <w:tcW w:w="1134" w:type="dxa"/>
            <w:gridSpan w:val="4"/>
            <w:tcBorders>
              <w:top w:val="single" w:sz="18" w:space="0" w:color="auto"/>
              <w:left w:val="single" w:sz="18" w:space="0" w:color="FFFFFF" w:themeColor="background1"/>
            </w:tcBorders>
          </w:tcPr>
          <w:p w:rsidR="00CE58F0" w:rsidRDefault="00CE58F0" w:rsidP="00413B8D">
            <w:pPr>
              <w:jc w:val="right"/>
              <w:rPr>
                <w:sz w:val="20"/>
              </w:rPr>
            </w:pPr>
            <w:r>
              <w:rPr>
                <w:sz w:val="20"/>
              </w:rPr>
              <w:t>4,211.9</w:t>
            </w:r>
          </w:p>
          <w:p w:rsidR="00CE58F0" w:rsidRDefault="00CE58F0" w:rsidP="00413B8D">
            <w:pPr>
              <w:jc w:val="right"/>
              <w:rPr>
                <w:sz w:val="20"/>
              </w:rPr>
            </w:pPr>
          </w:p>
        </w:tc>
        <w:tc>
          <w:tcPr>
            <w:tcW w:w="249" w:type="dxa"/>
            <w:tcBorders>
              <w:top w:val="single" w:sz="18" w:space="0" w:color="auto"/>
              <w:right w:val="single" w:sz="18" w:space="0" w:color="FFFFFF" w:themeColor="background1"/>
            </w:tcBorders>
          </w:tcPr>
          <w:p w:rsidR="00CE58F0" w:rsidRDefault="00CE58F0" w:rsidP="00413B8D">
            <w:pPr>
              <w:jc w:val="right"/>
              <w:rPr>
                <w:sz w:val="20"/>
              </w:rPr>
            </w:pPr>
          </w:p>
        </w:tc>
        <w:tc>
          <w:tcPr>
            <w:tcW w:w="1244" w:type="dxa"/>
            <w:gridSpan w:val="2"/>
            <w:tcBorders>
              <w:top w:val="single" w:sz="18" w:space="0" w:color="auto"/>
              <w:left w:val="single" w:sz="18" w:space="0" w:color="FFFFFF" w:themeColor="background1"/>
            </w:tcBorders>
          </w:tcPr>
          <w:p w:rsidR="00CE58F0" w:rsidRDefault="00CE58F0" w:rsidP="00413B8D">
            <w:pPr>
              <w:jc w:val="right"/>
              <w:rPr>
                <w:sz w:val="20"/>
              </w:rPr>
            </w:pPr>
            <w:r>
              <w:rPr>
                <w:sz w:val="20"/>
              </w:rPr>
              <w:t>2,695.7</w:t>
            </w:r>
          </w:p>
        </w:tc>
        <w:tc>
          <w:tcPr>
            <w:tcW w:w="1840" w:type="dxa"/>
            <w:gridSpan w:val="7"/>
            <w:tcBorders>
              <w:top w:val="single" w:sz="18" w:space="0" w:color="auto"/>
            </w:tcBorders>
          </w:tcPr>
          <w:p w:rsidR="00CE58F0" w:rsidRDefault="00CE58F0" w:rsidP="00413B8D">
            <w:pPr>
              <w:jc w:val="right"/>
              <w:rPr>
                <w:sz w:val="20"/>
              </w:rPr>
            </w:pPr>
            <w:r>
              <w:rPr>
                <w:sz w:val="20"/>
              </w:rPr>
              <w:t>(2,646.4)</w:t>
            </w:r>
          </w:p>
        </w:tc>
        <w:tc>
          <w:tcPr>
            <w:tcW w:w="885" w:type="dxa"/>
            <w:gridSpan w:val="2"/>
            <w:tcBorders>
              <w:top w:val="single" w:sz="18" w:space="0" w:color="auto"/>
              <w:right w:val="single" w:sz="18" w:space="0" w:color="FFFFFF" w:themeColor="background1"/>
            </w:tcBorders>
          </w:tcPr>
          <w:p w:rsidR="00CE58F0" w:rsidRDefault="00CE58F0" w:rsidP="00413B8D">
            <w:pPr>
              <w:jc w:val="right"/>
              <w:rPr>
                <w:sz w:val="20"/>
              </w:rPr>
            </w:pPr>
          </w:p>
        </w:tc>
        <w:tc>
          <w:tcPr>
            <w:tcW w:w="850" w:type="dxa"/>
            <w:tcBorders>
              <w:top w:val="single" w:sz="18" w:space="0" w:color="auto"/>
              <w:left w:val="single" w:sz="18" w:space="0" w:color="FFFFFF" w:themeColor="background1"/>
            </w:tcBorders>
          </w:tcPr>
          <w:p w:rsidR="00CE58F0" w:rsidRDefault="00CE58F0" w:rsidP="00413B8D">
            <w:pPr>
              <w:jc w:val="right"/>
              <w:rPr>
                <w:sz w:val="20"/>
              </w:rPr>
            </w:pPr>
            <w:r>
              <w:rPr>
                <w:sz w:val="20"/>
              </w:rPr>
              <w:t>532.7</w:t>
            </w:r>
          </w:p>
        </w:tc>
        <w:tc>
          <w:tcPr>
            <w:tcW w:w="1694" w:type="dxa"/>
            <w:gridSpan w:val="7"/>
            <w:tcBorders>
              <w:top w:val="single" w:sz="18" w:space="0" w:color="auto"/>
            </w:tcBorders>
          </w:tcPr>
          <w:p w:rsidR="00CE58F0" w:rsidRDefault="00CE58F0" w:rsidP="00413B8D">
            <w:pPr>
              <w:jc w:val="right"/>
              <w:rPr>
                <w:sz w:val="20"/>
              </w:rPr>
            </w:pPr>
            <w:r>
              <w:rPr>
                <w:sz w:val="20"/>
              </w:rPr>
              <w:t>4,793.9</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1943" w:type="dxa"/>
            <w:tcBorders>
              <w:top w:val="nil"/>
              <w:left w:val="nil"/>
              <w:bottom w:val="nil"/>
              <w:right w:val="nil"/>
            </w:tcBorders>
          </w:tcPr>
          <w:p w:rsidR="00CE58F0" w:rsidRDefault="00CE58F0" w:rsidP="00413B8D">
            <w:pPr>
              <w:ind w:left="-108" w:right="-845"/>
              <w:rPr>
                <w:sz w:val="20"/>
              </w:rPr>
            </w:pPr>
            <w:r>
              <w:rPr>
                <w:sz w:val="20"/>
              </w:rPr>
              <w:t>Derivative contracts:</w:t>
            </w:r>
          </w:p>
        </w:tc>
        <w:tc>
          <w:tcPr>
            <w:tcW w:w="1779" w:type="dxa"/>
            <w:gridSpan w:val="5"/>
            <w:tcBorders>
              <w:top w:val="nil"/>
              <w:left w:val="nil"/>
              <w:bottom w:val="nil"/>
              <w:right w:val="nil"/>
            </w:tcBorders>
          </w:tcPr>
          <w:p w:rsidR="00CE58F0" w:rsidRDefault="00CE58F0" w:rsidP="00413B8D">
            <w:pPr>
              <w:spacing w:after="120"/>
              <w:ind w:left="-108"/>
              <w:rPr>
                <w:szCs w:val="24"/>
              </w:rPr>
            </w:pPr>
          </w:p>
        </w:tc>
        <w:tc>
          <w:tcPr>
            <w:tcW w:w="1780" w:type="dxa"/>
            <w:gridSpan w:val="6"/>
            <w:tcBorders>
              <w:top w:val="nil"/>
              <w:left w:val="nil"/>
              <w:bottom w:val="nil"/>
              <w:right w:val="nil"/>
            </w:tcBorders>
          </w:tcPr>
          <w:p w:rsidR="00CE58F0" w:rsidRDefault="00CE58F0" w:rsidP="00413B8D">
            <w:pPr>
              <w:spacing w:after="120"/>
              <w:rPr>
                <w:szCs w:val="24"/>
              </w:rPr>
            </w:pPr>
          </w:p>
        </w:tc>
        <w:tc>
          <w:tcPr>
            <w:tcW w:w="1780" w:type="dxa"/>
            <w:gridSpan w:val="4"/>
            <w:tcBorders>
              <w:top w:val="nil"/>
              <w:left w:val="nil"/>
              <w:bottom w:val="nil"/>
              <w:right w:val="nil"/>
            </w:tcBorders>
          </w:tcPr>
          <w:p w:rsidR="00CE58F0" w:rsidRDefault="00CE58F0" w:rsidP="00413B8D">
            <w:pPr>
              <w:spacing w:after="120"/>
              <w:rPr>
                <w:szCs w:val="24"/>
              </w:rPr>
            </w:pPr>
          </w:p>
        </w:tc>
        <w:tc>
          <w:tcPr>
            <w:tcW w:w="1781" w:type="dxa"/>
            <w:gridSpan w:val="6"/>
            <w:tcBorders>
              <w:top w:val="nil"/>
              <w:left w:val="nil"/>
              <w:bottom w:val="nil"/>
              <w:right w:val="nil"/>
            </w:tcBorders>
          </w:tcPr>
          <w:p w:rsidR="00CE58F0" w:rsidRDefault="00CE58F0" w:rsidP="00413B8D">
            <w:pPr>
              <w:spacing w:after="120"/>
              <w:rPr>
                <w:szCs w:val="24"/>
              </w:rPr>
            </w:pPr>
          </w:p>
        </w:tc>
        <w:tc>
          <w:tcPr>
            <w:tcW w:w="1781" w:type="dxa"/>
            <w:gridSpan w:val="7"/>
            <w:tcBorders>
              <w:top w:val="nil"/>
              <w:left w:val="nil"/>
              <w:bottom w:val="nil"/>
              <w:right w:val="nil"/>
            </w:tcBorders>
          </w:tcPr>
          <w:p w:rsidR="00CE58F0" w:rsidRDefault="00CE58F0" w:rsidP="00413B8D">
            <w:pPr>
              <w:spacing w:after="120"/>
              <w:rPr>
                <w:szCs w:val="24"/>
              </w:rPr>
            </w:pP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296"/>
        </w:trPr>
        <w:tc>
          <w:tcPr>
            <w:tcW w:w="2836" w:type="dxa"/>
            <w:gridSpan w:val="4"/>
            <w:tcBorders>
              <w:top w:val="nil"/>
              <w:left w:val="nil"/>
              <w:bottom w:val="nil"/>
              <w:right w:val="nil"/>
            </w:tcBorders>
          </w:tcPr>
          <w:p w:rsidR="00CE58F0" w:rsidRDefault="00CE58F0" w:rsidP="00413B8D">
            <w:pPr>
              <w:ind w:left="-108" w:right="-704"/>
              <w:rPr>
                <w:sz w:val="20"/>
              </w:rPr>
            </w:pPr>
            <w:r>
              <w:rPr>
                <w:sz w:val="20"/>
              </w:rPr>
              <w:t>Futures</w:t>
            </w:r>
          </w:p>
        </w:tc>
        <w:tc>
          <w:tcPr>
            <w:tcW w:w="992" w:type="dxa"/>
            <w:gridSpan w:val="3"/>
            <w:tcBorders>
              <w:top w:val="nil"/>
              <w:left w:val="nil"/>
              <w:bottom w:val="nil"/>
              <w:right w:val="nil"/>
            </w:tcBorders>
          </w:tcPr>
          <w:p w:rsidR="00CE58F0" w:rsidRDefault="00CE58F0" w:rsidP="00413B8D">
            <w:pPr>
              <w:tabs>
                <w:tab w:val="left" w:pos="1276"/>
              </w:tabs>
              <w:spacing w:after="120"/>
              <w:ind w:right="-108"/>
              <w:jc w:val="right"/>
              <w:rPr>
                <w:sz w:val="20"/>
              </w:rPr>
            </w:pPr>
            <w:r>
              <w:rPr>
                <w:sz w:val="20"/>
              </w:rPr>
              <w:t>0.2</w:t>
            </w:r>
          </w:p>
        </w:tc>
        <w:tc>
          <w:tcPr>
            <w:tcW w:w="1745" w:type="dxa"/>
            <w:gridSpan w:val="7"/>
            <w:tcBorders>
              <w:top w:val="nil"/>
              <w:left w:val="nil"/>
              <w:bottom w:val="nil"/>
              <w:right w:val="nil"/>
            </w:tcBorders>
          </w:tcPr>
          <w:p w:rsidR="00CE58F0" w:rsidRDefault="00CE58F0" w:rsidP="00413B8D">
            <w:pPr>
              <w:tabs>
                <w:tab w:val="left" w:pos="1396"/>
              </w:tabs>
              <w:spacing w:after="120"/>
              <w:ind w:left="601" w:right="112"/>
              <w:jc w:val="right"/>
              <w:rPr>
                <w:sz w:val="20"/>
              </w:rPr>
            </w:pPr>
            <w:r>
              <w:rPr>
                <w:sz w:val="20"/>
              </w:rPr>
              <w:t>0.4</w:t>
            </w:r>
          </w:p>
        </w:tc>
        <w:tc>
          <w:tcPr>
            <w:tcW w:w="1780" w:type="dxa"/>
            <w:gridSpan w:val="5"/>
            <w:tcBorders>
              <w:top w:val="nil"/>
              <w:left w:val="nil"/>
              <w:bottom w:val="nil"/>
              <w:right w:val="nil"/>
            </w:tcBorders>
          </w:tcPr>
          <w:p w:rsidR="00CE58F0" w:rsidRDefault="00CE58F0" w:rsidP="00413B8D">
            <w:pPr>
              <w:tabs>
                <w:tab w:val="left" w:pos="1549"/>
              </w:tabs>
              <w:spacing w:after="120"/>
              <w:ind w:left="239" w:right="157"/>
              <w:jc w:val="right"/>
              <w:rPr>
                <w:sz w:val="20"/>
              </w:rPr>
            </w:pPr>
            <w:r>
              <w:rPr>
                <w:sz w:val="20"/>
              </w:rPr>
              <w:t>(0.5)</w:t>
            </w:r>
          </w:p>
        </w:tc>
        <w:tc>
          <w:tcPr>
            <w:tcW w:w="2393" w:type="dxa"/>
            <w:gridSpan w:val="6"/>
            <w:tcBorders>
              <w:top w:val="nil"/>
              <w:left w:val="nil"/>
              <w:bottom w:val="nil"/>
              <w:right w:val="nil"/>
            </w:tcBorders>
          </w:tcPr>
          <w:p w:rsidR="00CE58F0" w:rsidRDefault="00CE58F0" w:rsidP="00413B8D">
            <w:pPr>
              <w:spacing w:after="120"/>
              <w:ind w:right="741"/>
              <w:jc w:val="right"/>
              <w:rPr>
                <w:sz w:val="20"/>
              </w:rPr>
            </w:pPr>
            <w:r>
              <w:rPr>
                <w:sz w:val="20"/>
              </w:rPr>
              <w:t>(0.1)</w:t>
            </w:r>
          </w:p>
        </w:tc>
        <w:tc>
          <w:tcPr>
            <w:tcW w:w="886" w:type="dxa"/>
            <w:gridSpan w:val="2"/>
            <w:tcBorders>
              <w:top w:val="nil"/>
              <w:left w:val="nil"/>
              <w:bottom w:val="nil"/>
              <w:right w:val="nil"/>
            </w:tcBorders>
          </w:tcPr>
          <w:p w:rsidR="00CE58F0" w:rsidRDefault="00CE58F0" w:rsidP="00413B8D">
            <w:pPr>
              <w:spacing w:after="120"/>
              <w:ind w:right="-108"/>
              <w:jc w:val="right"/>
              <w:rPr>
                <w:sz w:val="20"/>
              </w:rPr>
            </w:pPr>
            <w:r>
              <w:rPr>
                <w:sz w:val="20"/>
              </w:rPr>
              <w:t>0.0</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500"/>
        </w:trPr>
        <w:tc>
          <w:tcPr>
            <w:tcW w:w="2836" w:type="dxa"/>
            <w:gridSpan w:val="4"/>
            <w:tcBorders>
              <w:top w:val="nil"/>
              <w:left w:val="nil"/>
              <w:bottom w:val="nil"/>
              <w:right w:val="nil"/>
            </w:tcBorders>
          </w:tcPr>
          <w:p w:rsidR="00CE58F0" w:rsidRDefault="00CE58F0" w:rsidP="00413B8D">
            <w:pPr>
              <w:ind w:left="-108" w:right="-704"/>
              <w:rPr>
                <w:sz w:val="20"/>
              </w:rPr>
            </w:pPr>
            <w:r>
              <w:rPr>
                <w:sz w:val="20"/>
              </w:rPr>
              <w:t xml:space="preserve">Forward currency </w:t>
            </w:r>
          </w:p>
          <w:p w:rsidR="00CE58F0" w:rsidRDefault="00CE58F0" w:rsidP="00C66B6F">
            <w:pPr>
              <w:ind w:left="-108" w:right="-704"/>
              <w:rPr>
                <w:sz w:val="20"/>
              </w:rPr>
            </w:pPr>
            <w:r>
              <w:rPr>
                <w:sz w:val="20"/>
              </w:rPr>
              <w:t xml:space="preserve">contracts </w:t>
            </w:r>
            <w:r w:rsidR="00DD7ABD">
              <w:rPr>
                <w:sz w:val="20"/>
              </w:rPr>
              <w:t>*</w:t>
            </w:r>
          </w:p>
        </w:tc>
        <w:tc>
          <w:tcPr>
            <w:tcW w:w="992" w:type="dxa"/>
            <w:gridSpan w:val="3"/>
            <w:tcBorders>
              <w:top w:val="nil"/>
              <w:left w:val="nil"/>
              <w:bottom w:val="nil"/>
              <w:right w:val="nil"/>
            </w:tcBorders>
          </w:tcPr>
          <w:p w:rsidR="00CE58F0" w:rsidRDefault="00C66B6F" w:rsidP="00413B8D">
            <w:pPr>
              <w:tabs>
                <w:tab w:val="left" w:pos="1276"/>
              </w:tabs>
              <w:spacing w:after="120"/>
              <w:ind w:right="-108"/>
              <w:jc w:val="right"/>
              <w:rPr>
                <w:sz w:val="20"/>
              </w:rPr>
            </w:pPr>
            <w:r>
              <w:rPr>
                <w:sz w:val="20"/>
              </w:rPr>
              <w:t>1.6</w:t>
            </w:r>
          </w:p>
        </w:tc>
        <w:tc>
          <w:tcPr>
            <w:tcW w:w="1745" w:type="dxa"/>
            <w:gridSpan w:val="7"/>
            <w:tcBorders>
              <w:top w:val="nil"/>
              <w:left w:val="nil"/>
              <w:bottom w:val="nil"/>
              <w:right w:val="nil"/>
            </w:tcBorders>
          </w:tcPr>
          <w:p w:rsidR="00CE58F0" w:rsidRDefault="00CE58F0" w:rsidP="00413B8D">
            <w:pPr>
              <w:spacing w:after="120"/>
              <w:ind w:left="601" w:right="112"/>
              <w:jc w:val="right"/>
              <w:rPr>
                <w:sz w:val="20"/>
              </w:rPr>
            </w:pPr>
          </w:p>
        </w:tc>
        <w:tc>
          <w:tcPr>
            <w:tcW w:w="1780" w:type="dxa"/>
            <w:gridSpan w:val="5"/>
            <w:tcBorders>
              <w:top w:val="nil"/>
              <w:left w:val="nil"/>
              <w:bottom w:val="nil"/>
              <w:right w:val="nil"/>
            </w:tcBorders>
          </w:tcPr>
          <w:p w:rsidR="00CE58F0" w:rsidRDefault="00CE58F0" w:rsidP="00413B8D">
            <w:pPr>
              <w:spacing w:after="120"/>
              <w:ind w:left="239" w:right="112"/>
              <w:jc w:val="right"/>
              <w:rPr>
                <w:sz w:val="20"/>
              </w:rPr>
            </w:pPr>
          </w:p>
        </w:tc>
        <w:tc>
          <w:tcPr>
            <w:tcW w:w="1781" w:type="dxa"/>
            <w:gridSpan w:val="5"/>
            <w:tcBorders>
              <w:top w:val="nil"/>
              <w:left w:val="nil"/>
              <w:bottom w:val="nil"/>
              <w:right w:val="nil"/>
            </w:tcBorders>
          </w:tcPr>
          <w:p w:rsidR="00CE58F0" w:rsidRDefault="00CE58F0" w:rsidP="00413B8D">
            <w:pPr>
              <w:spacing w:after="120"/>
              <w:ind w:right="112"/>
              <w:jc w:val="right"/>
              <w:rPr>
                <w:sz w:val="20"/>
              </w:rPr>
            </w:pPr>
          </w:p>
        </w:tc>
        <w:tc>
          <w:tcPr>
            <w:tcW w:w="1498" w:type="dxa"/>
            <w:gridSpan w:val="3"/>
            <w:tcBorders>
              <w:top w:val="nil"/>
              <w:left w:val="nil"/>
              <w:bottom w:val="nil"/>
              <w:right w:val="nil"/>
            </w:tcBorders>
          </w:tcPr>
          <w:p w:rsidR="00CE58F0" w:rsidRDefault="00C66B6F" w:rsidP="00413B8D">
            <w:pPr>
              <w:spacing w:after="120"/>
              <w:ind w:right="-108"/>
              <w:jc w:val="right"/>
              <w:rPr>
                <w:sz w:val="20"/>
              </w:rPr>
            </w:pPr>
            <w:r>
              <w:rPr>
                <w:sz w:val="20"/>
              </w:rPr>
              <w:t>3.0</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Pr>
        <w:tc>
          <w:tcPr>
            <w:tcW w:w="2836" w:type="dxa"/>
            <w:gridSpan w:val="4"/>
            <w:tcBorders>
              <w:top w:val="nil"/>
              <w:left w:val="nil"/>
              <w:bottom w:val="nil"/>
              <w:right w:val="nil"/>
            </w:tcBorders>
          </w:tcPr>
          <w:p w:rsidR="00CE58F0" w:rsidRDefault="00CE58F0" w:rsidP="00413B8D">
            <w:pPr>
              <w:ind w:left="-108" w:right="-704"/>
              <w:rPr>
                <w:sz w:val="20"/>
              </w:rPr>
            </w:pPr>
            <w:r>
              <w:rPr>
                <w:sz w:val="20"/>
              </w:rPr>
              <w:t>Cash deposits</w:t>
            </w:r>
          </w:p>
        </w:tc>
        <w:tc>
          <w:tcPr>
            <w:tcW w:w="992" w:type="dxa"/>
            <w:gridSpan w:val="3"/>
            <w:tcBorders>
              <w:top w:val="nil"/>
              <w:left w:val="nil"/>
              <w:bottom w:val="nil"/>
              <w:right w:val="nil"/>
            </w:tcBorders>
          </w:tcPr>
          <w:p w:rsidR="00CE58F0" w:rsidRDefault="00CE58F0" w:rsidP="00413B8D">
            <w:pPr>
              <w:spacing w:after="120"/>
              <w:ind w:right="-108"/>
              <w:jc w:val="right"/>
              <w:rPr>
                <w:sz w:val="20"/>
              </w:rPr>
            </w:pPr>
            <w:r>
              <w:rPr>
                <w:sz w:val="20"/>
              </w:rPr>
              <w:t>126.8</w:t>
            </w:r>
          </w:p>
        </w:tc>
        <w:tc>
          <w:tcPr>
            <w:tcW w:w="1745" w:type="dxa"/>
            <w:gridSpan w:val="7"/>
            <w:tcBorders>
              <w:top w:val="nil"/>
              <w:left w:val="nil"/>
              <w:bottom w:val="nil"/>
              <w:right w:val="nil"/>
            </w:tcBorders>
          </w:tcPr>
          <w:p w:rsidR="00CE58F0" w:rsidRDefault="00CE58F0" w:rsidP="00413B8D">
            <w:pPr>
              <w:spacing w:after="120"/>
              <w:ind w:left="601" w:right="112"/>
              <w:jc w:val="right"/>
              <w:rPr>
                <w:sz w:val="20"/>
              </w:rPr>
            </w:pPr>
          </w:p>
        </w:tc>
        <w:tc>
          <w:tcPr>
            <w:tcW w:w="1780" w:type="dxa"/>
            <w:gridSpan w:val="5"/>
            <w:tcBorders>
              <w:top w:val="nil"/>
              <w:left w:val="nil"/>
              <w:bottom w:val="nil"/>
              <w:right w:val="nil"/>
            </w:tcBorders>
          </w:tcPr>
          <w:p w:rsidR="00CE58F0" w:rsidRDefault="00CE58F0" w:rsidP="00413B8D">
            <w:pPr>
              <w:spacing w:after="120"/>
              <w:ind w:left="239" w:right="112"/>
              <w:jc w:val="right"/>
              <w:rPr>
                <w:sz w:val="20"/>
              </w:rPr>
            </w:pPr>
          </w:p>
        </w:tc>
        <w:tc>
          <w:tcPr>
            <w:tcW w:w="1781" w:type="dxa"/>
            <w:gridSpan w:val="5"/>
            <w:tcBorders>
              <w:top w:val="nil"/>
              <w:left w:val="nil"/>
              <w:bottom w:val="nil"/>
              <w:right w:val="nil"/>
            </w:tcBorders>
          </w:tcPr>
          <w:p w:rsidR="00CE58F0" w:rsidRDefault="00CE58F0" w:rsidP="00413B8D">
            <w:pPr>
              <w:spacing w:after="120"/>
              <w:ind w:right="112"/>
              <w:jc w:val="right"/>
              <w:rPr>
                <w:sz w:val="20"/>
              </w:rPr>
            </w:pPr>
          </w:p>
        </w:tc>
        <w:tc>
          <w:tcPr>
            <w:tcW w:w="1498" w:type="dxa"/>
            <w:gridSpan w:val="3"/>
            <w:tcBorders>
              <w:top w:val="nil"/>
              <w:left w:val="nil"/>
              <w:bottom w:val="nil"/>
              <w:right w:val="nil"/>
            </w:tcBorders>
          </w:tcPr>
          <w:p w:rsidR="00CE58F0" w:rsidRDefault="00CE58F0" w:rsidP="00413B8D">
            <w:pPr>
              <w:spacing w:after="120"/>
              <w:ind w:right="-108"/>
              <w:jc w:val="right"/>
              <w:rPr>
                <w:sz w:val="20"/>
              </w:rPr>
            </w:pPr>
            <w:r>
              <w:rPr>
                <w:sz w:val="20"/>
              </w:rPr>
              <w:t>170.5</w:t>
            </w:r>
          </w:p>
        </w:tc>
      </w:tr>
      <w:tr w:rsidR="00CE58F0" w:rsidTr="00DD7A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354"/>
        </w:trPr>
        <w:tc>
          <w:tcPr>
            <w:tcW w:w="2836" w:type="dxa"/>
            <w:gridSpan w:val="4"/>
            <w:tcBorders>
              <w:top w:val="nil"/>
              <w:left w:val="nil"/>
              <w:bottom w:val="nil"/>
              <w:right w:val="nil"/>
            </w:tcBorders>
          </w:tcPr>
          <w:p w:rsidR="00CE58F0" w:rsidRDefault="00CE58F0" w:rsidP="00413B8D">
            <w:pPr>
              <w:ind w:left="-108" w:right="-704"/>
              <w:rPr>
                <w:sz w:val="20"/>
              </w:rPr>
            </w:pPr>
            <w:r>
              <w:rPr>
                <w:sz w:val="20"/>
              </w:rPr>
              <w:t>Investment accruals</w:t>
            </w:r>
          </w:p>
        </w:tc>
        <w:tc>
          <w:tcPr>
            <w:tcW w:w="992" w:type="dxa"/>
            <w:gridSpan w:val="3"/>
            <w:tcBorders>
              <w:top w:val="nil"/>
              <w:left w:val="nil"/>
              <w:bottom w:val="single" w:sz="18" w:space="0" w:color="auto"/>
              <w:right w:val="nil"/>
            </w:tcBorders>
          </w:tcPr>
          <w:p w:rsidR="00CE58F0" w:rsidRDefault="00CE58F0" w:rsidP="00413B8D">
            <w:pPr>
              <w:spacing w:after="120"/>
              <w:ind w:right="-108"/>
              <w:jc w:val="right"/>
              <w:rPr>
                <w:sz w:val="20"/>
              </w:rPr>
            </w:pPr>
            <w:r>
              <w:rPr>
                <w:sz w:val="20"/>
              </w:rPr>
              <w:t>19.4</w:t>
            </w:r>
          </w:p>
        </w:tc>
        <w:tc>
          <w:tcPr>
            <w:tcW w:w="1745" w:type="dxa"/>
            <w:gridSpan w:val="7"/>
            <w:tcBorders>
              <w:top w:val="nil"/>
              <w:left w:val="nil"/>
              <w:bottom w:val="nil"/>
              <w:right w:val="nil"/>
            </w:tcBorders>
          </w:tcPr>
          <w:p w:rsidR="00CE58F0" w:rsidRDefault="00CE58F0" w:rsidP="00413B8D">
            <w:pPr>
              <w:spacing w:after="120"/>
              <w:ind w:left="601" w:right="112"/>
              <w:jc w:val="right"/>
              <w:rPr>
                <w:sz w:val="20"/>
              </w:rPr>
            </w:pPr>
          </w:p>
        </w:tc>
        <w:tc>
          <w:tcPr>
            <w:tcW w:w="1780" w:type="dxa"/>
            <w:gridSpan w:val="5"/>
            <w:tcBorders>
              <w:top w:val="nil"/>
              <w:left w:val="nil"/>
              <w:bottom w:val="nil"/>
              <w:right w:val="nil"/>
            </w:tcBorders>
          </w:tcPr>
          <w:p w:rsidR="00CE58F0" w:rsidRDefault="00CE58F0" w:rsidP="00413B8D">
            <w:pPr>
              <w:spacing w:after="120"/>
              <w:ind w:left="239" w:right="112"/>
              <w:jc w:val="right"/>
              <w:rPr>
                <w:sz w:val="20"/>
              </w:rPr>
            </w:pPr>
          </w:p>
        </w:tc>
        <w:tc>
          <w:tcPr>
            <w:tcW w:w="1781" w:type="dxa"/>
            <w:gridSpan w:val="5"/>
            <w:tcBorders>
              <w:top w:val="nil"/>
              <w:left w:val="nil"/>
              <w:bottom w:val="nil"/>
              <w:right w:val="nil"/>
            </w:tcBorders>
          </w:tcPr>
          <w:p w:rsidR="00CE58F0" w:rsidRDefault="00CE58F0" w:rsidP="00413B8D">
            <w:pPr>
              <w:spacing w:after="120"/>
              <w:ind w:right="112"/>
              <w:jc w:val="right"/>
              <w:rPr>
                <w:sz w:val="20"/>
              </w:rPr>
            </w:pPr>
          </w:p>
        </w:tc>
        <w:tc>
          <w:tcPr>
            <w:tcW w:w="1498" w:type="dxa"/>
            <w:gridSpan w:val="3"/>
            <w:tcBorders>
              <w:top w:val="nil"/>
              <w:left w:val="nil"/>
              <w:bottom w:val="single" w:sz="18" w:space="0" w:color="auto"/>
              <w:right w:val="nil"/>
            </w:tcBorders>
          </w:tcPr>
          <w:p w:rsidR="00CE58F0" w:rsidRDefault="00CE58F0" w:rsidP="00413B8D">
            <w:pPr>
              <w:spacing w:after="120"/>
              <w:ind w:right="-108"/>
              <w:jc w:val="right"/>
              <w:rPr>
                <w:sz w:val="20"/>
              </w:rPr>
            </w:pPr>
            <w:r>
              <w:rPr>
                <w:sz w:val="20"/>
              </w:rPr>
              <w:t>21.6</w:t>
            </w:r>
          </w:p>
        </w:tc>
      </w:tr>
      <w:tr w:rsidR="00CE58F0" w:rsidTr="00DD7A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468"/>
        </w:trPr>
        <w:tc>
          <w:tcPr>
            <w:tcW w:w="2836" w:type="dxa"/>
            <w:gridSpan w:val="4"/>
            <w:tcBorders>
              <w:top w:val="nil"/>
              <w:left w:val="nil"/>
              <w:bottom w:val="nil"/>
              <w:right w:val="nil"/>
            </w:tcBorders>
          </w:tcPr>
          <w:p w:rsidR="00CE58F0" w:rsidRDefault="00DD7ABD" w:rsidP="00413B8D">
            <w:pPr>
              <w:ind w:left="-108" w:right="-704"/>
              <w:rPr>
                <w:sz w:val="20"/>
              </w:rPr>
            </w:pPr>
            <w:r>
              <w:rPr>
                <w:sz w:val="20"/>
              </w:rPr>
              <w:t>Portfolio value</w:t>
            </w:r>
          </w:p>
        </w:tc>
        <w:tc>
          <w:tcPr>
            <w:tcW w:w="992" w:type="dxa"/>
            <w:gridSpan w:val="3"/>
            <w:tcBorders>
              <w:top w:val="single" w:sz="18" w:space="0" w:color="auto"/>
              <w:left w:val="nil"/>
              <w:bottom w:val="single" w:sz="18" w:space="0" w:color="auto"/>
              <w:right w:val="nil"/>
            </w:tcBorders>
          </w:tcPr>
          <w:p w:rsidR="00CE58F0" w:rsidRDefault="00DD7ABD" w:rsidP="00DD7ABD">
            <w:pPr>
              <w:spacing w:after="120"/>
              <w:ind w:right="-108"/>
              <w:jc w:val="right"/>
              <w:rPr>
                <w:sz w:val="20"/>
              </w:rPr>
            </w:pPr>
            <w:r>
              <w:rPr>
                <w:sz w:val="20"/>
              </w:rPr>
              <w:t>4,359.9</w:t>
            </w:r>
          </w:p>
        </w:tc>
        <w:tc>
          <w:tcPr>
            <w:tcW w:w="1525" w:type="dxa"/>
            <w:gridSpan w:val="3"/>
            <w:tcBorders>
              <w:top w:val="nil"/>
              <w:left w:val="nil"/>
              <w:bottom w:val="nil"/>
              <w:right w:val="nil"/>
            </w:tcBorders>
          </w:tcPr>
          <w:p w:rsidR="00CE58F0" w:rsidRDefault="00CE58F0" w:rsidP="00413B8D">
            <w:pPr>
              <w:spacing w:after="120"/>
              <w:ind w:left="601" w:right="112"/>
              <w:jc w:val="right"/>
              <w:rPr>
                <w:sz w:val="20"/>
              </w:rPr>
            </w:pPr>
          </w:p>
        </w:tc>
        <w:tc>
          <w:tcPr>
            <w:tcW w:w="2000" w:type="dxa"/>
            <w:gridSpan w:val="9"/>
            <w:tcBorders>
              <w:top w:val="nil"/>
              <w:left w:val="nil"/>
              <w:bottom w:val="nil"/>
              <w:right w:val="nil"/>
            </w:tcBorders>
          </w:tcPr>
          <w:p w:rsidR="00CE58F0" w:rsidRDefault="00CE58F0" w:rsidP="00413B8D">
            <w:pPr>
              <w:spacing w:after="120"/>
              <w:ind w:left="239" w:right="112"/>
              <w:jc w:val="right"/>
              <w:rPr>
                <w:sz w:val="20"/>
              </w:rPr>
            </w:pPr>
          </w:p>
        </w:tc>
        <w:tc>
          <w:tcPr>
            <w:tcW w:w="1781" w:type="dxa"/>
            <w:gridSpan w:val="5"/>
            <w:tcBorders>
              <w:top w:val="nil"/>
              <w:left w:val="nil"/>
              <w:bottom w:val="nil"/>
              <w:right w:val="nil"/>
            </w:tcBorders>
          </w:tcPr>
          <w:p w:rsidR="00CE58F0" w:rsidRDefault="00CE58F0" w:rsidP="00413B8D">
            <w:pPr>
              <w:spacing w:after="120"/>
              <w:ind w:right="112"/>
              <w:jc w:val="right"/>
              <w:rPr>
                <w:sz w:val="20"/>
              </w:rPr>
            </w:pPr>
          </w:p>
        </w:tc>
        <w:tc>
          <w:tcPr>
            <w:tcW w:w="1498" w:type="dxa"/>
            <w:gridSpan w:val="3"/>
            <w:tcBorders>
              <w:top w:val="single" w:sz="18" w:space="0" w:color="auto"/>
              <w:left w:val="nil"/>
              <w:bottom w:val="single" w:sz="18" w:space="0" w:color="auto"/>
              <w:right w:val="nil"/>
            </w:tcBorders>
          </w:tcPr>
          <w:p w:rsidR="00CE58F0" w:rsidRDefault="00DD7ABD" w:rsidP="00413B8D">
            <w:pPr>
              <w:spacing w:after="120"/>
              <w:ind w:right="-108"/>
              <w:jc w:val="right"/>
              <w:rPr>
                <w:sz w:val="20"/>
              </w:rPr>
            </w:pPr>
            <w:r>
              <w:rPr>
                <w:sz w:val="20"/>
              </w:rPr>
              <w:t>4,989.0</w:t>
            </w:r>
          </w:p>
        </w:tc>
      </w:tr>
      <w:tr w:rsidR="00CE58F0" w:rsidTr="00DD7A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Pr>
        <w:tc>
          <w:tcPr>
            <w:tcW w:w="2552" w:type="dxa"/>
            <w:gridSpan w:val="3"/>
            <w:tcBorders>
              <w:top w:val="nil"/>
              <w:left w:val="nil"/>
              <w:bottom w:val="nil"/>
              <w:right w:val="nil"/>
            </w:tcBorders>
          </w:tcPr>
          <w:p w:rsidR="00CE58F0" w:rsidRDefault="00CE58F0" w:rsidP="00413B8D">
            <w:pPr>
              <w:ind w:left="-108" w:right="-704"/>
              <w:rPr>
                <w:sz w:val="20"/>
              </w:rPr>
            </w:pPr>
          </w:p>
        </w:tc>
        <w:tc>
          <w:tcPr>
            <w:tcW w:w="1276" w:type="dxa"/>
            <w:gridSpan w:val="4"/>
            <w:tcBorders>
              <w:top w:val="nil"/>
              <w:left w:val="nil"/>
              <w:bottom w:val="nil"/>
              <w:right w:val="nil"/>
            </w:tcBorders>
          </w:tcPr>
          <w:p w:rsidR="00CE58F0" w:rsidRDefault="00CE58F0" w:rsidP="00413B8D">
            <w:pPr>
              <w:tabs>
                <w:tab w:val="left" w:pos="1907"/>
              </w:tabs>
              <w:spacing w:after="120"/>
              <w:ind w:left="488" w:right="-108"/>
              <w:jc w:val="right"/>
              <w:rPr>
                <w:sz w:val="20"/>
              </w:rPr>
            </w:pPr>
          </w:p>
        </w:tc>
        <w:tc>
          <w:tcPr>
            <w:tcW w:w="1682" w:type="dxa"/>
            <w:gridSpan w:val="6"/>
            <w:tcBorders>
              <w:top w:val="nil"/>
              <w:left w:val="nil"/>
              <w:bottom w:val="nil"/>
              <w:right w:val="nil"/>
            </w:tcBorders>
          </w:tcPr>
          <w:p w:rsidR="00CE58F0" w:rsidRDefault="00CE58F0" w:rsidP="00413B8D">
            <w:pPr>
              <w:spacing w:after="120"/>
              <w:ind w:left="601" w:right="112"/>
              <w:jc w:val="right"/>
              <w:rPr>
                <w:sz w:val="20"/>
              </w:rPr>
            </w:pPr>
          </w:p>
        </w:tc>
        <w:tc>
          <w:tcPr>
            <w:tcW w:w="1780" w:type="dxa"/>
            <w:gridSpan w:val="4"/>
            <w:tcBorders>
              <w:top w:val="nil"/>
              <w:left w:val="nil"/>
              <w:bottom w:val="nil"/>
              <w:right w:val="nil"/>
            </w:tcBorders>
          </w:tcPr>
          <w:p w:rsidR="00CE58F0" w:rsidRDefault="00CE58F0" w:rsidP="00413B8D">
            <w:pPr>
              <w:spacing w:after="120"/>
              <w:ind w:left="239" w:right="112"/>
              <w:jc w:val="right"/>
              <w:rPr>
                <w:sz w:val="20"/>
              </w:rPr>
            </w:pPr>
          </w:p>
        </w:tc>
        <w:tc>
          <w:tcPr>
            <w:tcW w:w="1781" w:type="dxa"/>
            <w:gridSpan w:val="6"/>
            <w:tcBorders>
              <w:top w:val="nil"/>
              <w:left w:val="nil"/>
              <w:bottom w:val="nil"/>
              <w:right w:val="nil"/>
            </w:tcBorders>
          </w:tcPr>
          <w:p w:rsidR="00CE58F0" w:rsidRDefault="00CE58F0" w:rsidP="00413B8D">
            <w:pPr>
              <w:spacing w:after="120"/>
              <w:ind w:right="112"/>
              <w:jc w:val="right"/>
              <w:rPr>
                <w:sz w:val="20"/>
              </w:rPr>
            </w:pPr>
          </w:p>
        </w:tc>
        <w:tc>
          <w:tcPr>
            <w:tcW w:w="1561" w:type="dxa"/>
            <w:gridSpan w:val="4"/>
            <w:tcBorders>
              <w:top w:val="nil"/>
              <w:left w:val="nil"/>
              <w:bottom w:val="nil"/>
              <w:right w:val="nil"/>
            </w:tcBorders>
          </w:tcPr>
          <w:p w:rsidR="00CE58F0" w:rsidRDefault="00CE58F0" w:rsidP="00413B8D">
            <w:pPr>
              <w:spacing w:after="120"/>
              <w:ind w:right="-108"/>
              <w:jc w:val="right"/>
              <w:rPr>
                <w:sz w:val="20"/>
              </w:rPr>
            </w:pPr>
          </w:p>
        </w:tc>
      </w:tr>
    </w:tbl>
    <w:p w:rsidR="00CE58F0" w:rsidRDefault="00AA4E00" w:rsidP="00DD7ABD">
      <w:pPr>
        <w:spacing w:after="120"/>
        <w:ind w:left="567"/>
        <w:jc w:val="both"/>
        <w:rPr>
          <w:szCs w:val="24"/>
        </w:rPr>
      </w:pPr>
      <w:r>
        <w:rPr>
          <w:szCs w:val="24"/>
        </w:rPr>
        <w:t>*Forward currency contracts have been disaggregated into asset and liability contracts for reporting as at 31</w:t>
      </w:r>
      <w:r w:rsidRPr="00AA4E00">
        <w:rPr>
          <w:szCs w:val="24"/>
          <w:vertAlign w:val="superscript"/>
        </w:rPr>
        <w:t>st</w:t>
      </w:r>
      <w:r>
        <w:rPr>
          <w:szCs w:val="24"/>
        </w:rPr>
        <w:t xml:space="preserve"> March 2014, the net asset position having been reported previously.</w:t>
      </w:r>
    </w:p>
    <w:p w:rsidR="00CE58F0" w:rsidRDefault="00CE58F0" w:rsidP="00CE58F0">
      <w:pPr>
        <w:spacing w:after="240"/>
        <w:ind w:left="567"/>
        <w:jc w:val="both"/>
        <w:rPr>
          <w:szCs w:val="24"/>
        </w:rPr>
      </w:pPr>
      <w:r>
        <w:rPr>
          <w:szCs w:val="24"/>
        </w:rPr>
        <w:t>Within the £102.9</w:t>
      </w:r>
      <w:r w:rsidRPr="006241AC">
        <w:rPr>
          <w:szCs w:val="24"/>
        </w:rPr>
        <w:t>m</w:t>
      </w:r>
      <w:r>
        <w:rPr>
          <w:szCs w:val="24"/>
        </w:rPr>
        <w:t xml:space="preserve"> increase in market value of investments during the 2013/14 financial year, a reduction in market value of £33.9m relates to assets for which fair value is not based on observable market data.  The valuation policy for these assets is outlined in note 16.</w:t>
      </w:r>
    </w:p>
    <w:p w:rsidR="00CE58F0" w:rsidRDefault="00CE58F0" w:rsidP="00CE58F0">
      <w:pPr>
        <w:spacing w:after="240"/>
        <w:ind w:left="567"/>
        <w:jc w:val="both"/>
        <w:rPr>
          <w:szCs w:val="24"/>
        </w:rPr>
      </w:pPr>
      <w:r w:rsidRPr="00166665">
        <w:rPr>
          <w:szCs w:val="24"/>
        </w:rPr>
        <w:t>Transaction costs are included in the cost of purchases and in sale proceeds.  Transaction costs include costs charged directly to the Pension Fund, such as fees, commissions paid to agents, brokers and dealers, levies by regulatory agencies and securities exchanges and transfer taxes and duties.  Transaction costs incurred during the year 20</w:t>
      </w:r>
      <w:r>
        <w:rPr>
          <w:szCs w:val="24"/>
        </w:rPr>
        <w:t>13</w:t>
      </w:r>
      <w:r w:rsidRPr="00166665">
        <w:rPr>
          <w:szCs w:val="24"/>
        </w:rPr>
        <w:t>/1</w:t>
      </w:r>
      <w:r>
        <w:rPr>
          <w:szCs w:val="24"/>
        </w:rPr>
        <w:t>4</w:t>
      </w:r>
      <w:r w:rsidRPr="00166665">
        <w:rPr>
          <w:szCs w:val="24"/>
        </w:rPr>
        <w:t xml:space="preserve"> amounted to </w:t>
      </w:r>
      <w:r w:rsidRPr="00C94A41">
        <w:rPr>
          <w:szCs w:val="24"/>
        </w:rPr>
        <w:t>£</w:t>
      </w:r>
      <w:r>
        <w:rPr>
          <w:szCs w:val="24"/>
        </w:rPr>
        <w:t>1.4</w:t>
      </w:r>
      <w:r w:rsidRPr="00121C1B">
        <w:rPr>
          <w:szCs w:val="24"/>
        </w:rPr>
        <w:t>m</w:t>
      </w:r>
      <w:r w:rsidRPr="00C94A41">
        <w:rPr>
          <w:szCs w:val="24"/>
        </w:rPr>
        <w:t xml:space="preserve"> (201</w:t>
      </w:r>
      <w:r>
        <w:rPr>
          <w:szCs w:val="24"/>
        </w:rPr>
        <w:t>2</w:t>
      </w:r>
      <w:r w:rsidRPr="00C94A41">
        <w:rPr>
          <w:szCs w:val="24"/>
        </w:rPr>
        <w:t>/1</w:t>
      </w:r>
      <w:r>
        <w:rPr>
          <w:szCs w:val="24"/>
        </w:rPr>
        <w:t>3: £2.2m</w:t>
      </w:r>
      <w:r w:rsidRPr="00C94A41">
        <w:rPr>
          <w:szCs w:val="24"/>
        </w:rPr>
        <w:t>).</w:t>
      </w:r>
    </w:p>
    <w:p w:rsidR="00CE58F0" w:rsidRDefault="00CE58F0" w:rsidP="00CE58F0">
      <w:pPr>
        <w:spacing w:after="120"/>
        <w:ind w:left="567"/>
        <w:jc w:val="both"/>
        <w:rPr>
          <w:szCs w:val="24"/>
        </w:rPr>
      </w:pPr>
      <w:r w:rsidRPr="00166665">
        <w:rPr>
          <w:szCs w:val="24"/>
        </w:rPr>
        <w:t>The investment assets at 31 March 201</w:t>
      </w:r>
      <w:r>
        <w:rPr>
          <w:szCs w:val="24"/>
        </w:rPr>
        <w:t>4</w:t>
      </w:r>
      <w:r w:rsidRPr="00166665">
        <w:rPr>
          <w:szCs w:val="24"/>
        </w:rPr>
        <w:t xml:space="preserve"> </w:t>
      </w:r>
      <w:r>
        <w:rPr>
          <w:szCs w:val="24"/>
        </w:rPr>
        <w:t>were</w:t>
      </w:r>
      <w:r w:rsidRPr="00166665">
        <w:rPr>
          <w:szCs w:val="24"/>
        </w:rPr>
        <w:t xml:space="preserve"> managed by </w:t>
      </w:r>
      <w:r>
        <w:rPr>
          <w:szCs w:val="24"/>
        </w:rPr>
        <w:t>eleven</w:t>
      </w:r>
      <w:r w:rsidRPr="00166665">
        <w:rPr>
          <w:szCs w:val="24"/>
        </w:rPr>
        <w:t xml:space="preserve"> external investment managers, with the remaining managed in-house.  The </w:t>
      </w:r>
      <w:r>
        <w:rPr>
          <w:szCs w:val="24"/>
        </w:rPr>
        <w:t>following table shows the split</w:t>
      </w:r>
      <w:r w:rsidRPr="00166665">
        <w:rPr>
          <w:szCs w:val="24"/>
        </w:rPr>
        <w:t xml:space="preserve"> of the investme</w:t>
      </w:r>
      <w:r>
        <w:rPr>
          <w:szCs w:val="24"/>
        </w:rPr>
        <w:t>nt assets by investment manager.</w:t>
      </w: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p w:rsidR="0076770B" w:rsidRDefault="0076770B" w:rsidP="00CE58F0">
      <w:pPr>
        <w:spacing w:after="120"/>
        <w:ind w:left="567"/>
        <w:jc w:val="both"/>
        <w:rPr>
          <w:szCs w:val="24"/>
        </w:rPr>
      </w:pPr>
    </w:p>
    <w:tbl>
      <w:tblPr>
        <w:tblW w:w="10758" w:type="dxa"/>
        <w:tblInd w:w="103" w:type="dxa"/>
        <w:tblLook w:val="04A0" w:firstRow="1" w:lastRow="0" w:firstColumn="1" w:lastColumn="0" w:noHBand="0" w:noVBand="1"/>
      </w:tblPr>
      <w:tblGrid>
        <w:gridCol w:w="4967"/>
        <w:gridCol w:w="992"/>
        <w:gridCol w:w="1285"/>
        <w:gridCol w:w="830"/>
        <w:gridCol w:w="283"/>
        <w:gridCol w:w="1299"/>
        <w:gridCol w:w="272"/>
        <w:gridCol w:w="830"/>
      </w:tblGrid>
      <w:tr w:rsidR="00CE58F0" w:rsidRPr="00F6773F" w:rsidTr="00413B8D">
        <w:trPr>
          <w:trHeight w:val="315"/>
        </w:trPr>
        <w:tc>
          <w:tcPr>
            <w:tcW w:w="8074" w:type="dxa"/>
            <w:gridSpan w:val="4"/>
            <w:tcBorders>
              <w:top w:val="single" w:sz="4" w:space="0" w:color="auto"/>
              <w:left w:val="single" w:sz="4" w:space="0" w:color="auto"/>
              <w:bottom w:val="nil"/>
              <w:right w:val="nil"/>
            </w:tcBorders>
            <w:shd w:val="clear" w:color="000000" w:fill="FFFFFF"/>
            <w:noWrap/>
            <w:vAlign w:val="bottom"/>
            <w:hideMark/>
          </w:tcPr>
          <w:p w:rsidR="00CE58F0" w:rsidRPr="004B380D" w:rsidRDefault="00CE58F0" w:rsidP="00413B8D">
            <w:pPr>
              <w:rPr>
                <w:rFonts w:cs="Arial"/>
                <w:b/>
                <w:bCs/>
                <w:color w:val="000000"/>
                <w:szCs w:val="24"/>
              </w:rPr>
            </w:pPr>
            <w:r>
              <w:rPr>
                <w:rFonts w:cs="Arial"/>
                <w:b/>
                <w:bCs/>
                <w:color w:val="000000"/>
                <w:szCs w:val="24"/>
              </w:rPr>
              <w:t>Summary of Manager's Portfolio Values</w:t>
            </w:r>
          </w:p>
        </w:tc>
        <w:tc>
          <w:tcPr>
            <w:tcW w:w="283" w:type="dxa"/>
            <w:tcBorders>
              <w:top w:val="single" w:sz="4" w:space="0" w:color="auto"/>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299" w:type="dxa"/>
            <w:tcBorders>
              <w:top w:val="single" w:sz="4" w:space="0" w:color="auto"/>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102" w:type="dxa"/>
            <w:gridSpan w:val="2"/>
            <w:tcBorders>
              <w:top w:val="single" w:sz="4" w:space="0" w:color="auto"/>
              <w:left w:val="nil"/>
              <w:bottom w:val="nil"/>
              <w:right w:val="single" w:sz="4" w:space="0" w:color="auto"/>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4B380D" w:rsidRDefault="00CE58F0" w:rsidP="00413B8D">
            <w:pPr>
              <w:rPr>
                <w:rFonts w:cs="Arial"/>
                <w:bCs/>
                <w:color w:val="000000"/>
                <w:szCs w:val="24"/>
              </w:rPr>
            </w:pPr>
            <w:r w:rsidRPr="00F97C80">
              <w:rPr>
                <w:rFonts w:cs="Arial"/>
                <w:bCs/>
                <w:color w:val="000000"/>
                <w:szCs w:val="24"/>
              </w:rPr>
              <w:t>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299"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102" w:type="dxa"/>
            <w:gridSpan w:val="2"/>
            <w:tcBorders>
              <w:top w:val="nil"/>
              <w:left w:val="nil"/>
              <w:bottom w:val="nil"/>
              <w:right w:val="single" w:sz="4" w:space="0" w:color="auto"/>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2115" w:type="dxa"/>
            <w:gridSpan w:val="2"/>
            <w:tcBorders>
              <w:top w:val="nil"/>
              <w:left w:val="nil"/>
              <w:bottom w:val="nil"/>
              <w:right w:val="nil"/>
            </w:tcBorders>
            <w:shd w:val="clear" w:color="000000" w:fill="FFFFFF"/>
            <w:noWrap/>
            <w:vAlign w:val="bottom"/>
            <w:hideMark/>
          </w:tcPr>
          <w:p w:rsidR="00CE58F0" w:rsidRPr="006E28F2" w:rsidRDefault="00CE58F0" w:rsidP="00413B8D">
            <w:pPr>
              <w:jc w:val="center"/>
              <w:rPr>
                <w:rFonts w:cs="Arial"/>
                <w:b/>
                <w:bCs/>
                <w:color w:val="000000"/>
                <w:szCs w:val="24"/>
              </w:rPr>
            </w:pPr>
            <w:r>
              <w:rPr>
                <w:rFonts w:cs="Arial"/>
                <w:b/>
                <w:bCs/>
                <w:color w:val="000000"/>
                <w:szCs w:val="24"/>
              </w:rPr>
              <w:t>31/03/14</w:t>
            </w:r>
          </w:p>
        </w:tc>
        <w:tc>
          <w:tcPr>
            <w:tcW w:w="283" w:type="dxa"/>
            <w:tcBorders>
              <w:top w:val="nil"/>
              <w:left w:val="nil"/>
              <w:bottom w:val="nil"/>
              <w:right w:val="nil"/>
            </w:tcBorders>
            <w:shd w:val="clear" w:color="000000" w:fill="FFFFFF"/>
            <w:noWrap/>
            <w:vAlign w:val="bottom"/>
            <w:hideMark/>
          </w:tcPr>
          <w:p w:rsidR="00CE58F0" w:rsidRPr="006E28F2" w:rsidRDefault="00CE58F0" w:rsidP="00413B8D">
            <w:pPr>
              <w:jc w:val="center"/>
              <w:rPr>
                <w:rFonts w:cs="Arial"/>
                <w:b/>
                <w:bCs/>
                <w:color w:val="000000"/>
                <w:szCs w:val="24"/>
              </w:rPr>
            </w:pPr>
            <w:r w:rsidRPr="006E28F2">
              <w:rPr>
                <w:rFonts w:cs="Arial"/>
                <w:b/>
                <w:bCs/>
                <w:color w:val="000000"/>
                <w:szCs w:val="24"/>
              </w:rPr>
              <w:t> </w:t>
            </w:r>
          </w:p>
        </w:tc>
        <w:tc>
          <w:tcPr>
            <w:tcW w:w="2401" w:type="dxa"/>
            <w:gridSpan w:val="3"/>
            <w:tcBorders>
              <w:top w:val="nil"/>
              <w:left w:val="nil"/>
              <w:bottom w:val="nil"/>
              <w:right w:val="single" w:sz="4" w:space="0" w:color="000000"/>
            </w:tcBorders>
            <w:shd w:val="clear" w:color="000000" w:fill="FFFFFF"/>
            <w:noWrap/>
            <w:vAlign w:val="bottom"/>
            <w:hideMark/>
          </w:tcPr>
          <w:p w:rsidR="00CE58F0" w:rsidRPr="006E28F2" w:rsidRDefault="00CE58F0" w:rsidP="00413B8D">
            <w:pPr>
              <w:jc w:val="center"/>
              <w:rPr>
                <w:rFonts w:cs="Arial"/>
                <w:b/>
                <w:bCs/>
                <w:color w:val="000000"/>
                <w:szCs w:val="24"/>
              </w:rPr>
            </w:pPr>
            <w:r>
              <w:rPr>
                <w:rFonts w:cs="Arial"/>
                <w:b/>
                <w:bCs/>
                <w:color w:val="000000"/>
                <w:szCs w:val="24"/>
              </w:rPr>
              <w:t>31/03/13</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top w:val="nil"/>
              <w:left w:val="nil"/>
              <w:bottom w:val="nil"/>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£m</w:t>
            </w:r>
          </w:p>
        </w:tc>
        <w:tc>
          <w:tcPr>
            <w:tcW w:w="830" w:type="dxa"/>
            <w:tcBorders>
              <w:top w:val="nil"/>
              <w:left w:val="nil"/>
              <w:bottom w:val="nil"/>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w:t>
            </w:r>
          </w:p>
        </w:tc>
        <w:tc>
          <w:tcPr>
            <w:tcW w:w="283" w:type="dxa"/>
            <w:tcBorders>
              <w:top w:val="nil"/>
              <w:left w:val="nil"/>
              <w:bottom w:val="nil"/>
              <w:right w:val="nil"/>
            </w:tcBorders>
            <w:shd w:val="clear" w:color="000000" w:fill="FFFFFF"/>
            <w:noWrap/>
            <w:vAlign w:val="bottom"/>
            <w:hideMark/>
          </w:tcPr>
          <w:p w:rsidR="00CE58F0" w:rsidRPr="006E28F2" w:rsidRDefault="00CE58F0" w:rsidP="00413B8D">
            <w:pPr>
              <w:jc w:val="right"/>
              <w:rPr>
                <w:rFonts w:cs="Arial"/>
                <w:b/>
                <w:bCs/>
                <w:color w:val="000000"/>
                <w:szCs w:val="24"/>
              </w:rPr>
            </w:pPr>
            <w:r w:rsidRPr="006E28F2">
              <w:rPr>
                <w:rFonts w:cs="Arial"/>
                <w:b/>
                <w:bCs/>
                <w:color w:val="000000"/>
                <w:szCs w:val="24"/>
              </w:rPr>
              <w:t> </w:t>
            </w:r>
          </w:p>
        </w:tc>
        <w:tc>
          <w:tcPr>
            <w:tcW w:w="1571" w:type="dxa"/>
            <w:gridSpan w:val="2"/>
            <w:tcBorders>
              <w:top w:val="nil"/>
              <w:left w:val="nil"/>
              <w:bottom w:val="nil"/>
              <w:right w:val="nil"/>
            </w:tcBorders>
            <w:shd w:val="clear" w:color="000000" w:fill="FFFFFF"/>
            <w:noWrap/>
            <w:vAlign w:val="bottom"/>
            <w:hideMark/>
          </w:tcPr>
          <w:p w:rsidR="00CE58F0" w:rsidRPr="006E28F2" w:rsidRDefault="00CE58F0" w:rsidP="00413B8D">
            <w:pPr>
              <w:jc w:val="right"/>
              <w:rPr>
                <w:rFonts w:cs="Arial"/>
                <w:b/>
                <w:bCs/>
                <w:color w:val="000000"/>
                <w:szCs w:val="24"/>
              </w:rPr>
            </w:pPr>
            <w:r w:rsidRPr="006E28F2">
              <w:rPr>
                <w:rFonts w:cs="Arial"/>
                <w:b/>
                <w:bCs/>
                <w:color w:val="000000"/>
                <w:szCs w:val="24"/>
              </w:rPr>
              <w:t>£m</w:t>
            </w:r>
          </w:p>
        </w:tc>
        <w:tc>
          <w:tcPr>
            <w:tcW w:w="830" w:type="dxa"/>
            <w:tcBorders>
              <w:top w:val="nil"/>
              <w:left w:val="nil"/>
              <w:bottom w:val="nil"/>
              <w:right w:val="single" w:sz="4" w:space="0" w:color="auto"/>
            </w:tcBorders>
            <w:shd w:val="clear" w:color="000000" w:fill="FFFFFF"/>
            <w:noWrap/>
            <w:vAlign w:val="bottom"/>
            <w:hideMark/>
          </w:tcPr>
          <w:p w:rsidR="00CE58F0" w:rsidRPr="006E28F2" w:rsidRDefault="00CE58F0" w:rsidP="00413B8D">
            <w:pPr>
              <w:jc w:val="right"/>
              <w:rPr>
                <w:rFonts w:cs="Arial"/>
                <w:b/>
                <w:bCs/>
                <w:color w:val="000000"/>
                <w:szCs w:val="24"/>
              </w:rPr>
            </w:pPr>
            <w:r w:rsidRPr="006E28F2">
              <w:rPr>
                <w:rFonts w:cs="Arial"/>
                <w:b/>
                <w:bCs/>
                <w:color w:val="000000"/>
                <w:szCs w:val="24"/>
              </w:rPr>
              <w:t>%</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7A7FF3" w:rsidRDefault="00CE58F0" w:rsidP="00413B8D">
            <w:pPr>
              <w:rPr>
                <w:rFonts w:cs="Arial"/>
                <w:bCs/>
                <w:color w:val="000000"/>
                <w:szCs w:val="24"/>
                <w:u w:val="single"/>
              </w:rPr>
            </w:pPr>
            <w:r w:rsidRPr="000C15C5">
              <w:rPr>
                <w:rFonts w:cs="Arial"/>
                <w:bCs/>
                <w:color w:val="000000"/>
                <w:szCs w:val="24"/>
                <w:u w:val="single"/>
              </w:rPr>
              <w:t>Externally Managed</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571" w:type="dxa"/>
            <w:gridSpan w:val="2"/>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830" w:type="dxa"/>
            <w:tcBorders>
              <w:top w:val="nil"/>
              <w:left w:val="nil"/>
              <w:bottom w:val="nil"/>
              <w:right w:val="single" w:sz="4" w:space="0" w:color="auto"/>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r>
      <w:tr w:rsidR="00CE58F0" w:rsidRPr="00F6773F" w:rsidTr="00413B8D">
        <w:trPr>
          <w:trHeight w:val="600"/>
        </w:trPr>
        <w:tc>
          <w:tcPr>
            <w:tcW w:w="4967" w:type="dxa"/>
            <w:tcBorders>
              <w:top w:val="nil"/>
              <w:left w:val="single" w:sz="4" w:space="0" w:color="auto"/>
              <w:bottom w:val="nil"/>
              <w:right w:val="nil"/>
            </w:tcBorders>
            <w:shd w:val="clear" w:color="000000" w:fill="FFFFFF"/>
            <w:vAlign w:val="bottom"/>
            <w:hideMark/>
          </w:tcPr>
          <w:p w:rsidR="00CE58F0" w:rsidRPr="000F56E0" w:rsidRDefault="00CE58F0" w:rsidP="00413B8D">
            <w:pPr>
              <w:rPr>
                <w:rFonts w:cs="Arial"/>
                <w:color w:val="000000"/>
                <w:szCs w:val="24"/>
                <w:u w:val="single"/>
              </w:rPr>
            </w:pPr>
            <w:r w:rsidRPr="00EE6D14">
              <w:rPr>
                <w:rFonts w:cs="Arial"/>
                <w:color w:val="000000"/>
                <w:szCs w:val="24"/>
                <w:u w:val="single"/>
              </w:rPr>
              <w:t>Equities</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bottom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52"/>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Baillie Gifford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793.0</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15%</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703.1</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14%</w:t>
            </w:r>
          </w:p>
        </w:tc>
      </w:tr>
      <w:tr w:rsidR="00CE58F0" w:rsidRPr="00F6773F" w:rsidTr="00413B8D">
        <w:trPr>
          <w:trHeight w:val="27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lastRenderedPageBreak/>
              <w:t xml:space="preserve">Robeco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366.7</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7%</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354.5</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7%</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NGAM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285.8</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6%</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245.7</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5%</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MFS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269.6</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5%</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245.0</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5%</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AGF</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239.9</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5%</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0.0</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0%</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Morgan Stanley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239.4</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5%</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234.1</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5%</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Magellan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197.5</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4%</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0.0</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0%</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405E6C" w:rsidRDefault="00CE58F0" w:rsidP="00413B8D">
            <w:pPr>
              <w:rPr>
                <w:rFonts w:cs="Arial"/>
                <w:bCs/>
                <w:color w:val="000000"/>
                <w:szCs w:val="24"/>
              </w:rPr>
            </w:pPr>
            <w:r>
              <w:rPr>
                <w:rFonts w:cs="Arial"/>
                <w:bCs/>
                <w:color w:val="000000"/>
                <w:szCs w:val="24"/>
              </w:rPr>
              <w:t xml:space="preserve">Nomura Transition </w:t>
            </w:r>
          </w:p>
        </w:tc>
        <w:tc>
          <w:tcPr>
            <w:tcW w:w="992" w:type="dxa"/>
            <w:tcBorders>
              <w:top w:val="nil"/>
              <w:left w:val="nil"/>
              <w:bottom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285" w:type="dxa"/>
            <w:tcBorders>
              <w:left w:val="nil"/>
              <w:right w:val="nil"/>
            </w:tcBorders>
            <w:shd w:val="clear" w:color="000000" w:fill="FFFFFF"/>
            <w:noWrap/>
            <w:vAlign w:val="bottom"/>
            <w:hideMark/>
          </w:tcPr>
          <w:p w:rsidR="00CE58F0" w:rsidRPr="00405E6C" w:rsidRDefault="00CE58F0" w:rsidP="00413B8D">
            <w:pPr>
              <w:jc w:val="right"/>
              <w:rPr>
                <w:rFonts w:cs="Arial"/>
                <w:bCs/>
                <w:color w:val="000000"/>
                <w:szCs w:val="24"/>
              </w:rPr>
            </w:pPr>
            <w:r>
              <w:rPr>
                <w:rFonts w:cs="Arial"/>
                <w:bCs/>
                <w:color w:val="000000"/>
                <w:szCs w:val="24"/>
              </w:rPr>
              <w:t>1.9</w:t>
            </w:r>
          </w:p>
        </w:tc>
        <w:tc>
          <w:tcPr>
            <w:tcW w:w="830" w:type="dxa"/>
            <w:tcBorders>
              <w:left w:val="nil"/>
              <w:right w:val="nil"/>
            </w:tcBorders>
            <w:shd w:val="clear" w:color="000000" w:fill="FFFFFF"/>
            <w:noWrap/>
            <w:vAlign w:val="bottom"/>
            <w:hideMark/>
          </w:tcPr>
          <w:p w:rsidR="00CE58F0" w:rsidRPr="00405E6C" w:rsidRDefault="00CE58F0" w:rsidP="00413B8D">
            <w:pPr>
              <w:jc w:val="right"/>
              <w:rPr>
                <w:rFonts w:cs="Arial"/>
                <w:bCs/>
                <w:color w:val="000000"/>
                <w:szCs w:val="24"/>
              </w:rPr>
            </w:pPr>
            <w:r>
              <w:rPr>
                <w:rFonts w:cs="Arial"/>
                <w:bCs/>
                <w:color w:val="000000"/>
                <w:szCs w:val="24"/>
              </w:rPr>
              <w:t>0%</w:t>
            </w:r>
          </w:p>
        </w:tc>
        <w:tc>
          <w:tcPr>
            <w:tcW w:w="283" w:type="dxa"/>
            <w:tcBorders>
              <w:left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571" w:type="dxa"/>
            <w:gridSpan w:val="2"/>
            <w:tcBorders>
              <w:left w:val="nil"/>
              <w:right w:val="nil"/>
            </w:tcBorders>
            <w:shd w:val="clear" w:color="000000" w:fill="FFFFFF"/>
            <w:noWrap/>
            <w:vAlign w:val="bottom"/>
            <w:hideMark/>
          </w:tcPr>
          <w:p w:rsidR="00CE58F0" w:rsidRPr="00405E6C" w:rsidRDefault="00D13AC7" w:rsidP="00413B8D">
            <w:pPr>
              <w:ind w:right="34"/>
              <w:jc w:val="right"/>
              <w:rPr>
                <w:rFonts w:cs="Arial"/>
                <w:bCs/>
                <w:color w:val="000000"/>
                <w:szCs w:val="24"/>
              </w:rPr>
            </w:pPr>
            <w:r>
              <w:rPr>
                <w:rFonts w:cs="Arial"/>
                <w:bCs/>
                <w:color w:val="000000"/>
                <w:szCs w:val="24"/>
              </w:rPr>
              <w:t>1.7</w:t>
            </w:r>
          </w:p>
        </w:tc>
        <w:tc>
          <w:tcPr>
            <w:tcW w:w="830" w:type="dxa"/>
            <w:tcBorders>
              <w:left w:val="nil"/>
              <w:right w:val="single" w:sz="4" w:space="0" w:color="auto"/>
            </w:tcBorders>
            <w:shd w:val="clear" w:color="000000" w:fill="FFFFFF"/>
            <w:noWrap/>
            <w:vAlign w:val="bottom"/>
            <w:hideMark/>
          </w:tcPr>
          <w:p w:rsidR="00CE58F0" w:rsidRPr="00405E6C" w:rsidRDefault="00CE58F0" w:rsidP="00413B8D">
            <w:pPr>
              <w:jc w:val="right"/>
              <w:rPr>
                <w:rFonts w:cs="Arial"/>
                <w:bCs/>
                <w:color w:val="000000"/>
                <w:szCs w:val="24"/>
              </w:rPr>
            </w:pPr>
            <w:r>
              <w:rPr>
                <w:rFonts w:cs="Arial"/>
                <w:bCs/>
                <w:color w:val="000000"/>
                <w:szCs w:val="24"/>
              </w:rPr>
              <w:t>0%</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Default="00CE58F0" w:rsidP="00413B8D">
            <w:pPr>
              <w:rPr>
                <w:rFonts w:cs="Arial"/>
                <w:color w:val="000000"/>
                <w:szCs w:val="24"/>
              </w:rPr>
            </w:pP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bottom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0F56E0" w:rsidRDefault="00CE58F0" w:rsidP="00413B8D">
            <w:pPr>
              <w:rPr>
                <w:rFonts w:cs="Arial"/>
                <w:color w:val="000000"/>
                <w:szCs w:val="24"/>
                <w:u w:val="single"/>
              </w:rPr>
            </w:pPr>
            <w:r>
              <w:rPr>
                <w:rFonts w:cs="Arial"/>
                <w:color w:val="000000"/>
                <w:szCs w:val="24"/>
                <w:u w:val="single"/>
              </w:rPr>
              <w:t>Private equity</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bottom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Capital Dynamics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221.5</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4%</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229.1</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4%</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Default="00CE58F0" w:rsidP="00413B8D">
            <w:pPr>
              <w:rPr>
                <w:rFonts w:cs="Arial"/>
                <w:color w:val="000000"/>
                <w:szCs w:val="24"/>
              </w:rPr>
            </w:pP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0F56E0" w:rsidRDefault="00CE58F0" w:rsidP="00413B8D">
            <w:pPr>
              <w:rPr>
                <w:rFonts w:cs="Arial"/>
                <w:color w:val="000000"/>
                <w:szCs w:val="24"/>
                <w:u w:val="single"/>
              </w:rPr>
            </w:pPr>
            <w:r>
              <w:rPr>
                <w:rFonts w:cs="Arial"/>
                <w:color w:val="000000"/>
                <w:szCs w:val="24"/>
                <w:u w:val="single"/>
              </w:rPr>
              <w:t>Infrastructure</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Capital Dynamics</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118.6</w:t>
            </w:r>
          </w:p>
        </w:tc>
        <w:tc>
          <w:tcPr>
            <w:tcW w:w="830"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w:t>
            </w: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77.5</w:t>
            </w:r>
          </w:p>
        </w:tc>
        <w:tc>
          <w:tcPr>
            <w:tcW w:w="830" w:type="dxa"/>
            <w:tcBorders>
              <w:top w:val="nil"/>
              <w:left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w:t>
            </w: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Default="00CE58F0" w:rsidP="00413B8D">
            <w:pPr>
              <w:rPr>
                <w:rFonts w:cs="Arial"/>
                <w:color w:val="000000"/>
                <w:szCs w:val="24"/>
              </w:rPr>
            </w:pP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8758B4" w:rsidRDefault="00CE58F0" w:rsidP="00413B8D">
            <w:pPr>
              <w:rPr>
                <w:rFonts w:cs="Arial"/>
                <w:color w:val="000000"/>
                <w:szCs w:val="24"/>
                <w:u w:val="single"/>
              </w:rPr>
            </w:pPr>
            <w:r w:rsidRPr="008758B4">
              <w:rPr>
                <w:rFonts w:cs="Arial"/>
                <w:color w:val="000000"/>
                <w:szCs w:val="24"/>
                <w:u w:val="single"/>
              </w:rPr>
              <w:t>Credit and fixed income transition</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300"/>
        </w:trPr>
        <w:tc>
          <w:tcPr>
            <w:tcW w:w="4967" w:type="dxa"/>
            <w:tcBorders>
              <w:top w:val="nil"/>
              <w:left w:val="single" w:sz="4" w:space="0" w:color="auto"/>
              <w:bottom w:val="nil"/>
              <w:right w:val="nil"/>
            </w:tcBorders>
            <w:shd w:val="clear" w:color="000000" w:fill="FFFFFF"/>
            <w:vAlign w:val="bottom"/>
            <w:hideMark/>
          </w:tcPr>
          <w:p w:rsidR="00CE58F0" w:rsidRPr="004B380D" w:rsidRDefault="00CE58F0" w:rsidP="00413B8D">
            <w:pPr>
              <w:rPr>
                <w:rFonts w:cs="Arial"/>
                <w:color w:val="000000"/>
                <w:szCs w:val="24"/>
              </w:rPr>
            </w:pPr>
            <w:r>
              <w:rPr>
                <w:rFonts w:cs="Arial"/>
                <w:color w:val="000000"/>
                <w:szCs w:val="24"/>
              </w:rPr>
              <w:t xml:space="preserve">BNYM Transition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82.5</w:t>
            </w:r>
          </w:p>
        </w:tc>
        <w:tc>
          <w:tcPr>
            <w:tcW w:w="830"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w:t>
            </w: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Pr="004B380D" w:rsidRDefault="00CE58F0" w:rsidP="00413B8D">
            <w:pPr>
              <w:ind w:right="34"/>
              <w:jc w:val="right"/>
              <w:rPr>
                <w:rFonts w:cs="Arial"/>
                <w:color w:val="000000"/>
                <w:szCs w:val="24"/>
              </w:rPr>
            </w:pPr>
            <w:r>
              <w:rPr>
                <w:rFonts w:cs="Arial"/>
                <w:color w:val="000000"/>
                <w:szCs w:val="24"/>
              </w:rPr>
              <w:t>929.4</w:t>
            </w:r>
          </w:p>
        </w:tc>
        <w:tc>
          <w:tcPr>
            <w:tcW w:w="830" w:type="dxa"/>
            <w:tcBorders>
              <w:top w:val="nil"/>
              <w:left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19%</w:t>
            </w:r>
          </w:p>
        </w:tc>
      </w:tr>
      <w:tr w:rsidR="00CE58F0" w:rsidRPr="00F6773F" w:rsidTr="00413B8D">
        <w:trPr>
          <w:trHeight w:val="270"/>
        </w:trPr>
        <w:tc>
          <w:tcPr>
            <w:tcW w:w="4967" w:type="dxa"/>
            <w:tcBorders>
              <w:top w:val="nil"/>
              <w:left w:val="single" w:sz="4" w:space="0" w:color="auto"/>
              <w:bottom w:val="nil"/>
              <w:right w:val="nil"/>
            </w:tcBorders>
            <w:shd w:val="clear" w:color="000000" w:fill="FFFFFF"/>
            <w:vAlign w:val="bottom"/>
            <w:hideMark/>
          </w:tcPr>
          <w:p w:rsidR="00CE58F0" w:rsidRDefault="00CE58F0" w:rsidP="00413B8D">
            <w:pPr>
              <w:rPr>
                <w:rFonts w:cs="Arial"/>
                <w:color w:val="000000"/>
                <w:szCs w:val="24"/>
              </w:rPr>
            </w:pPr>
          </w:p>
        </w:tc>
        <w:tc>
          <w:tcPr>
            <w:tcW w:w="992" w:type="dxa"/>
            <w:tcBorders>
              <w:top w:val="nil"/>
              <w:left w:val="nil"/>
              <w:bottom w:val="nil"/>
              <w:right w:val="nil"/>
            </w:tcBorders>
            <w:shd w:val="clear" w:color="000000" w:fill="FFFFFF"/>
            <w:noWrap/>
            <w:vAlign w:val="bottom"/>
            <w:hideMark/>
          </w:tcPr>
          <w:p w:rsidR="00CE58F0" w:rsidRPr="00F97C80"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bottom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270"/>
        </w:trPr>
        <w:tc>
          <w:tcPr>
            <w:tcW w:w="4967" w:type="dxa"/>
            <w:tcBorders>
              <w:top w:val="nil"/>
              <w:left w:val="single" w:sz="4" w:space="0" w:color="auto"/>
              <w:bottom w:val="nil"/>
              <w:right w:val="nil"/>
            </w:tcBorders>
            <w:shd w:val="clear" w:color="000000" w:fill="FFFFFF"/>
            <w:vAlign w:val="bottom"/>
            <w:hideMark/>
          </w:tcPr>
          <w:p w:rsidR="00CE58F0" w:rsidRPr="000F56E0" w:rsidRDefault="00CE58F0" w:rsidP="00413B8D">
            <w:pPr>
              <w:rPr>
                <w:rFonts w:cs="Arial"/>
                <w:color w:val="000000"/>
                <w:szCs w:val="24"/>
                <w:u w:val="single"/>
              </w:rPr>
            </w:pPr>
            <w:r w:rsidRPr="00EE6D14">
              <w:rPr>
                <w:rFonts w:cs="Arial"/>
                <w:color w:val="000000"/>
                <w:szCs w:val="24"/>
                <w:u w:val="single"/>
              </w:rPr>
              <w:t>Property</w:t>
            </w:r>
          </w:p>
        </w:tc>
        <w:tc>
          <w:tcPr>
            <w:tcW w:w="992" w:type="dxa"/>
            <w:tcBorders>
              <w:top w:val="nil"/>
              <w:left w:val="nil"/>
              <w:bottom w:val="nil"/>
              <w:right w:val="nil"/>
            </w:tcBorders>
            <w:shd w:val="clear" w:color="000000" w:fill="FFFFFF"/>
            <w:noWrap/>
            <w:vAlign w:val="bottom"/>
            <w:hideMark/>
          </w:tcPr>
          <w:p w:rsidR="00CE58F0" w:rsidRPr="00F97C80"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830" w:type="dxa"/>
            <w:tcBorders>
              <w:top w:val="nil"/>
              <w:left w:val="nil"/>
              <w:bottom w:val="nil"/>
              <w:right w:val="nil"/>
            </w:tcBorders>
            <w:shd w:val="clear" w:color="000000" w:fill="FFFFFF"/>
            <w:noWrap/>
            <w:vAlign w:val="bottom"/>
            <w:hideMark/>
          </w:tcPr>
          <w:p w:rsidR="00CE58F0" w:rsidRDefault="00CE58F0" w:rsidP="00413B8D">
            <w:pPr>
              <w:jc w:val="right"/>
              <w:rPr>
                <w:rFonts w:cs="Arial"/>
                <w:color w:val="000000"/>
                <w:szCs w:val="24"/>
              </w:rPr>
            </w:pP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Default="00CE58F0" w:rsidP="00413B8D">
            <w:pPr>
              <w:ind w:right="34"/>
              <w:jc w:val="right"/>
              <w:rPr>
                <w:rFonts w:cs="Arial"/>
                <w:color w:val="000000"/>
                <w:szCs w:val="24"/>
              </w:rPr>
            </w:pPr>
          </w:p>
        </w:tc>
        <w:tc>
          <w:tcPr>
            <w:tcW w:w="830" w:type="dxa"/>
            <w:tcBorders>
              <w:top w:val="nil"/>
              <w:left w:val="nil"/>
              <w:right w:val="single" w:sz="4" w:space="0" w:color="auto"/>
            </w:tcBorders>
            <w:shd w:val="clear" w:color="000000" w:fill="FFFFFF"/>
            <w:noWrap/>
            <w:vAlign w:val="bottom"/>
            <w:hideMark/>
          </w:tcPr>
          <w:p w:rsidR="00CE58F0" w:rsidRDefault="00CE58F0" w:rsidP="00413B8D">
            <w:pPr>
              <w:jc w:val="right"/>
              <w:rPr>
                <w:rFonts w:cs="Arial"/>
                <w:color w:val="000000"/>
                <w:szCs w:val="24"/>
              </w:rPr>
            </w:pPr>
          </w:p>
        </w:tc>
      </w:tr>
      <w:tr w:rsidR="00CE58F0" w:rsidRPr="00F6773F" w:rsidTr="00413B8D">
        <w:trPr>
          <w:trHeight w:val="270"/>
        </w:trPr>
        <w:tc>
          <w:tcPr>
            <w:tcW w:w="4967" w:type="dxa"/>
            <w:tcBorders>
              <w:top w:val="nil"/>
              <w:left w:val="single" w:sz="4" w:space="0" w:color="auto"/>
              <w:bottom w:val="nil"/>
              <w:right w:val="nil"/>
            </w:tcBorders>
            <w:shd w:val="clear" w:color="000000" w:fill="FFFFFF"/>
            <w:vAlign w:val="bottom"/>
            <w:hideMark/>
          </w:tcPr>
          <w:p w:rsidR="00CE58F0" w:rsidRPr="00F97C80" w:rsidRDefault="00CE58F0" w:rsidP="00413B8D">
            <w:pPr>
              <w:rPr>
                <w:rFonts w:cs="Arial"/>
                <w:color w:val="000000"/>
                <w:szCs w:val="24"/>
              </w:rPr>
            </w:pPr>
            <w:r>
              <w:rPr>
                <w:rFonts w:cs="Arial"/>
                <w:color w:val="000000"/>
                <w:szCs w:val="24"/>
              </w:rPr>
              <w:t xml:space="preserve">Knight Frank </w:t>
            </w:r>
          </w:p>
        </w:tc>
        <w:tc>
          <w:tcPr>
            <w:tcW w:w="992" w:type="dxa"/>
            <w:tcBorders>
              <w:top w:val="nil"/>
              <w:left w:val="nil"/>
              <w:bottom w:val="nil"/>
              <w:right w:val="nil"/>
            </w:tcBorders>
            <w:shd w:val="clear" w:color="000000" w:fill="FFFFFF"/>
            <w:noWrap/>
            <w:vAlign w:val="bottom"/>
            <w:hideMark/>
          </w:tcPr>
          <w:p w:rsidR="00CE58F0" w:rsidRPr="00F97C80"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450.5</w:t>
            </w:r>
          </w:p>
        </w:tc>
        <w:tc>
          <w:tcPr>
            <w:tcW w:w="830"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9%</w:t>
            </w:r>
          </w:p>
        </w:tc>
        <w:tc>
          <w:tcPr>
            <w:tcW w:w="283" w:type="dxa"/>
            <w:tcBorders>
              <w:top w:val="nil"/>
              <w:left w:val="nil"/>
              <w:right w:val="nil"/>
            </w:tcBorders>
            <w:shd w:val="clear" w:color="000000" w:fill="FFFFFF"/>
            <w:noWrap/>
            <w:vAlign w:val="bottom"/>
            <w:hideMark/>
          </w:tcPr>
          <w:p w:rsidR="00CE58F0" w:rsidRPr="00F6773F" w:rsidRDefault="00CE58F0" w:rsidP="00413B8D">
            <w:pPr>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Pr="00F97C80" w:rsidRDefault="00CE58F0" w:rsidP="00413B8D">
            <w:pPr>
              <w:ind w:right="34"/>
              <w:jc w:val="right"/>
              <w:rPr>
                <w:rFonts w:cs="Arial"/>
                <w:color w:val="000000"/>
                <w:szCs w:val="24"/>
              </w:rPr>
            </w:pPr>
            <w:r>
              <w:rPr>
                <w:rFonts w:cs="Arial"/>
                <w:color w:val="000000"/>
                <w:szCs w:val="24"/>
              </w:rPr>
              <w:t>434.9</w:t>
            </w:r>
          </w:p>
        </w:tc>
        <w:tc>
          <w:tcPr>
            <w:tcW w:w="830" w:type="dxa"/>
            <w:tcBorders>
              <w:top w:val="nil"/>
              <w:left w:val="nil"/>
              <w:right w:val="single" w:sz="8" w:space="0" w:color="auto"/>
            </w:tcBorders>
            <w:shd w:val="clear" w:color="000000" w:fill="FFFFFF"/>
            <w:noWrap/>
            <w:vAlign w:val="bottom"/>
            <w:hideMark/>
          </w:tcPr>
          <w:p w:rsidR="00CE58F0" w:rsidRPr="00F97C80" w:rsidRDefault="00CE58F0" w:rsidP="00413B8D">
            <w:pPr>
              <w:jc w:val="right"/>
              <w:rPr>
                <w:rFonts w:cs="Arial"/>
                <w:color w:val="000000"/>
                <w:szCs w:val="24"/>
              </w:rPr>
            </w:pPr>
            <w:r>
              <w:rPr>
                <w:rFonts w:cs="Arial"/>
                <w:color w:val="000000"/>
                <w:szCs w:val="24"/>
              </w:rPr>
              <w:t>9%</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Default="00CE58F0" w:rsidP="00413B8D">
            <w:pPr>
              <w:ind w:right="-392"/>
              <w:rPr>
                <w:rFonts w:cs="Arial"/>
                <w:bCs/>
                <w:color w:val="000000"/>
                <w:szCs w:val="24"/>
              </w:rPr>
            </w:pPr>
          </w:p>
        </w:tc>
        <w:tc>
          <w:tcPr>
            <w:tcW w:w="992" w:type="dxa"/>
            <w:tcBorders>
              <w:top w:val="nil"/>
              <w:left w:val="nil"/>
              <w:bottom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285" w:type="dxa"/>
            <w:tcBorders>
              <w:left w:val="nil"/>
              <w:right w:val="nil"/>
            </w:tcBorders>
            <w:shd w:val="clear" w:color="000000" w:fill="FFFFFF"/>
            <w:noWrap/>
            <w:vAlign w:val="bottom"/>
            <w:hideMark/>
          </w:tcPr>
          <w:p w:rsidR="00CE58F0" w:rsidRDefault="00CE58F0" w:rsidP="00413B8D">
            <w:pPr>
              <w:jc w:val="right"/>
              <w:rPr>
                <w:rFonts w:cs="Arial"/>
                <w:bCs/>
                <w:color w:val="000000"/>
                <w:szCs w:val="24"/>
              </w:rPr>
            </w:pPr>
          </w:p>
        </w:tc>
        <w:tc>
          <w:tcPr>
            <w:tcW w:w="830" w:type="dxa"/>
            <w:tcBorders>
              <w:left w:val="nil"/>
              <w:right w:val="nil"/>
            </w:tcBorders>
            <w:shd w:val="clear" w:color="000000" w:fill="FFFFFF"/>
            <w:noWrap/>
            <w:vAlign w:val="bottom"/>
            <w:hideMark/>
          </w:tcPr>
          <w:p w:rsidR="00CE58F0" w:rsidRDefault="00CE58F0" w:rsidP="00413B8D">
            <w:pPr>
              <w:jc w:val="right"/>
              <w:rPr>
                <w:rFonts w:cs="Arial"/>
                <w:bCs/>
                <w:color w:val="000000"/>
                <w:szCs w:val="24"/>
              </w:rPr>
            </w:pPr>
          </w:p>
        </w:tc>
        <w:tc>
          <w:tcPr>
            <w:tcW w:w="283" w:type="dxa"/>
            <w:tcBorders>
              <w:left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571" w:type="dxa"/>
            <w:gridSpan w:val="2"/>
            <w:tcBorders>
              <w:left w:val="nil"/>
              <w:right w:val="nil"/>
            </w:tcBorders>
            <w:shd w:val="clear" w:color="000000" w:fill="FFFFFF"/>
            <w:noWrap/>
            <w:vAlign w:val="bottom"/>
            <w:hideMark/>
          </w:tcPr>
          <w:p w:rsidR="00CE58F0" w:rsidRDefault="00CE58F0" w:rsidP="00413B8D">
            <w:pPr>
              <w:ind w:right="34"/>
              <w:jc w:val="right"/>
              <w:rPr>
                <w:rFonts w:cs="Arial"/>
                <w:bCs/>
                <w:color w:val="000000"/>
                <w:szCs w:val="24"/>
              </w:rPr>
            </w:pPr>
          </w:p>
        </w:tc>
        <w:tc>
          <w:tcPr>
            <w:tcW w:w="830" w:type="dxa"/>
            <w:tcBorders>
              <w:left w:val="nil"/>
              <w:right w:val="single" w:sz="8" w:space="0" w:color="auto"/>
            </w:tcBorders>
            <w:shd w:val="clear" w:color="000000" w:fill="FFFFFF"/>
            <w:noWrap/>
            <w:vAlign w:val="bottom"/>
            <w:hideMark/>
          </w:tcPr>
          <w:p w:rsidR="00CE58F0" w:rsidRDefault="00CE58F0" w:rsidP="00413B8D">
            <w:pPr>
              <w:jc w:val="right"/>
              <w:rPr>
                <w:rFonts w:cs="Arial"/>
                <w:bCs/>
                <w:color w:val="000000"/>
                <w:szCs w:val="24"/>
              </w:rPr>
            </w:pP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0F56E0" w:rsidRDefault="00CE58F0" w:rsidP="00413B8D">
            <w:pPr>
              <w:ind w:right="-392"/>
              <w:rPr>
                <w:rFonts w:cs="Arial"/>
                <w:bCs/>
                <w:color w:val="000000"/>
                <w:szCs w:val="24"/>
                <w:u w:val="single"/>
              </w:rPr>
            </w:pPr>
            <w:r>
              <w:rPr>
                <w:rFonts w:cs="Arial"/>
                <w:bCs/>
                <w:color w:val="000000"/>
                <w:szCs w:val="24"/>
                <w:u w:val="single"/>
              </w:rPr>
              <w:t>Index tracking – multi asset</w:t>
            </w:r>
          </w:p>
        </w:tc>
        <w:tc>
          <w:tcPr>
            <w:tcW w:w="992" w:type="dxa"/>
            <w:tcBorders>
              <w:top w:val="nil"/>
              <w:left w:val="nil"/>
              <w:bottom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285" w:type="dxa"/>
            <w:tcBorders>
              <w:left w:val="nil"/>
              <w:right w:val="nil"/>
            </w:tcBorders>
            <w:shd w:val="clear" w:color="000000" w:fill="FFFFFF"/>
            <w:noWrap/>
            <w:vAlign w:val="bottom"/>
            <w:hideMark/>
          </w:tcPr>
          <w:p w:rsidR="00CE58F0" w:rsidRDefault="00CE58F0" w:rsidP="00413B8D">
            <w:pPr>
              <w:jc w:val="right"/>
              <w:rPr>
                <w:rFonts w:cs="Arial"/>
                <w:bCs/>
                <w:color w:val="000000"/>
                <w:szCs w:val="24"/>
              </w:rPr>
            </w:pPr>
          </w:p>
        </w:tc>
        <w:tc>
          <w:tcPr>
            <w:tcW w:w="830" w:type="dxa"/>
            <w:tcBorders>
              <w:left w:val="nil"/>
              <w:right w:val="nil"/>
            </w:tcBorders>
            <w:shd w:val="clear" w:color="000000" w:fill="FFFFFF"/>
            <w:noWrap/>
            <w:vAlign w:val="bottom"/>
            <w:hideMark/>
          </w:tcPr>
          <w:p w:rsidR="00CE58F0" w:rsidRDefault="00CE58F0" w:rsidP="00413B8D">
            <w:pPr>
              <w:jc w:val="right"/>
              <w:rPr>
                <w:rFonts w:cs="Arial"/>
                <w:bCs/>
                <w:color w:val="000000"/>
                <w:szCs w:val="24"/>
              </w:rPr>
            </w:pPr>
          </w:p>
        </w:tc>
        <w:tc>
          <w:tcPr>
            <w:tcW w:w="283" w:type="dxa"/>
            <w:tcBorders>
              <w:left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571" w:type="dxa"/>
            <w:gridSpan w:val="2"/>
            <w:tcBorders>
              <w:left w:val="nil"/>
              <w:right w:val="nil"/>
            </w:tcBorders>
            <w:shd w:val="clear" w:color="000000" w:fill="FFFFFF"/>
            <w:noWrap/>
            <w:vAlign w:val="bottom"/>
            <w:hideMark/>
          </w:tcPr>
          <w:p w:rsidR="00CE58F0" w:rsidRDefault="00CE58F0" w:rsidP="00413B8D">
            <w:pPr>
              <w:ind w:right="34"/>
              <w:jc w:val="right"/>
              <w:rPr>
                <w:rFonts w:cs="Arial"/>
                <w:bCs/>
                <w:color w:val="000000"/>
                <w:szCs w:val="24"/>
              </w:rPr>
            </w:pPr>
          </w:p>
        </w:tc>
        <w:tc>
          <w:tcPr>
            <w:tcW w:w="830" w:type="dxa"/>
            <w:tcBorders>
              <w:left w:val="nil"/>
              <w:right w:val="single" w:sz="8" w:space="0" w:color="auto"/>
            </w:tcBorders>
            <w:shd w:val="clear" w:color="000000" w:fill="FFFFFF"/>
            <w:noWrap/>
            <w:vAlign w:val="bottom"/>
            <w:hideMark/>
          </w:tcPr>
          <w:p w:rsidR="00CE58F0" w:rsidRDefault="00CE58F0" w:rsidP="00413B8D">
            <w:pPr>
              <w:jc w:val="right"/>
              <w:rPr>
                <w:rFonts w:cs="Arial"/>
                <w:bCs/>
                <w:color w:val="000000"/>
                <w:szCs w:val="24"/>
              </w:rPr>
            </w:pP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405E6C" w:rsidRDefault="00CE58F0" w:rsidP="00413B8D">
            <w:pPr>
              <w:ind w:right="-392"/>
              <w:rPr>
                <w:rFonts w:cs="Arial"/>
                <w:bCs/>
                <w:color w:val="000000"/>
                <w:szCs w:val="24"/>
              </w:rPr>
            </w:pPr>
            <w:r>
              <w:rPr>
                <w:rFonts w:cs="Arial"/>
                <w:bCs/>
                <w:color w:val="000000"/>
                <w:szCs w:val="24"/>
              </w:rPr>
              <w:t xml:space="preserve">Legal &amp; General </w:t>
            </w:r>
          </w:p>
        </w:tc>
        <w:tc>
          <w:tcPr>
            <w:tcW w:w="992" w:type="dxa"/>
            <w:tcBorders>
              <w:top w:val="nil"/>
              <w:left w:val="nil"/>
              <w:bottom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285" w:type="dxa"/>
            <w:tcBorders>
              <w:left w:val="nil"/>
              <w:right w:val="nil"/>
            </w:tcBorders>
            <w:shd w:val="clear" w:color="000000" w:fill="FFFFFF"/>
            <w:noWrap/>
            <w:vAlign w:val="bottom"/>
            <w:hideMark/>
          </w:tcPr>
          <w:p w:rsidR="00CE58F0" w:rsidRPr="00405E6C" w:rsidRDefault="00CE58F0" w:rsidP="00413B8D">
            <w:pPr>
              <w:jc w:val="right"/>
              <w:rPr>
                <w:rFonts w:cs="Arial"/>
                <w:bCs/>
                <w:color w:val="000000"/>
                <w:szCs w:val="24"/>
              </w:rPr>
            </w:pPr>
            <w:r>
              <w:rPr>
                <w:rFonts w:cs="Arial"/>
                <w:bCs/>
                <w:color w:val="000000"/>
                <w:szCs w:val="24"/>
              </w:rPr>
              <w:t>0.0</w:t>
            </w:r>
          </w:p>
        </w:tc>
        <w:tc>
          <w:tcPr>
            <w:tcW w:w="830" w:type="dxa"/>
            <w:tcBorders>
              <w:left w:val="nil"/>
              <w:right w:val="nil"/>
            </w:tcBorders>
            <w:shd w:val="clear" w:color="000000" w:fill="FFFFFF"/>
            <w:noWrap/>
            <w:vAlign w:val="bottom"/>
            <w:hideMark/>
          </w:tcPr>
          <w:p w:rsidR="00CE58F0" w:rsidRPr="00405E6C" w:rsidRDefault="00CE58F0" w:rsidP="00413B8D">
            <w:pPr>
              <w:jc w:val="right"/>
              <w:rPr>
                <w:rFonts w:cs="Arial"/>
                <w:bCs/>
                <w:color w:val="000000"/>
                <w:szCs w:val="24"/>
              </w:rPr>
            </w:pPr>
            <w:r>
              <w:rPr>
                <w:rFonts w:cs="Arial"/>
                <w:bCs/>
                <w:color w:val="000000"/>
                <w:szCs w:val="24"/>
              </w:rPr>
              <w:t>0%</w:t>
            </w:r>
          </w:p>
        </w:tc>
        <w:tc>
          <w:tcPr>
            <w:tcW w:w="283" w:type="dxa"/>
            <w:tcBorders>
              <w:left w:val="nil"/>
              <w:right w:val="nil"/>
            </w:tcBorders>
            <w:shd w:val="clear" w:color="000000" w:fill="FFFFFF"/>
            <w:noWrap/>
            <w:vAlign w:val="bottom"/>
            <w:hideMark/>
          </w:tcPr>
          <w:p w:rsidR="00CE58F0" w:rsidRPr="00405E6C" w:rsidRDefault="00CE58F0" w:rsidP="00413B8D">
            <w:pPr>
              <w:rPr>
                <w:rFonts w:cs="Arial"/>
                <w:color w:val="000000"/>
                <w:szCs w:val="24"/>
              </w:rPr>
            </w:pPr>
          </w:p>
        </w:tc>
        <w:tc>
          <w:tcPr>
            <w:tcW w:w="1571" w:type="dxa"/>
            <w:gridSpan w:val="2"/>
            <w:tcBorders>
              <w:left w:val="nil"/>
              <w:right w:val="nil"/>
            </w:tcBorders>
            <w:shd w:val="clear" w:color="000000" w:fill="FFFFFF"/>
            <w:noWrap/>
            <w:vAlign w:val="bottom"/>
            <w:hideMark/>
          </w:tcPr>
          <w:p w:rsidR="00CE58F0" w:rsidRPr="00405E6C" w:rsidRDefault="00CE58F0" w:rsidP="00413B8D">
            <w:pPr>
              <w:ind w:right="34"/>
              <w:jc w:val="right"/>
              <w:rPr>
                <w:rFonts w:cs="Arial"/>
                <w:bCs/>
                <w:color w:val="000000"/>
                <w:szCs w:val="24"/>
              </w:rPr>
            </w:pPr>
            <w:r>
              <w:rPr>
                <w:rFonts w:cs="Arial"/>
                <w:bCs/>
                <w:color w:val="000000"/>
                <w:szCs w:val="24"/>
              </w:rPr>
              <w:t>582.1</w:t>
            </w:r>
          </w:p>
        </w:tc>
        <w:tc>
          <w:tcPr>
            <w:tcW w:w="830" w:type="dxa"/>
            <w:tcBorders>
              <w:left w:val="nil"/>
              <w:right w:val="single" w:sz="8" w:space="0" w:color="auto"/>
            </w:tcBorders>
            <w:shd w:val="clear" w:color="000000" w:fill="FFFFFF"/>
            <w:noWrap/>
            <w:vAlign w:val="bottom"/>
            <w:hideMark/>
          </w:tcPr>
          <w:p w:rsidR="00CE58F0" w:rsidRPr="00405E6C" w:rsidRDefault="00CE58F0" w:rsidP="00413B8D">
            <w:pPr>
              <w:jc w:val="right"/>
              <w:rPr>
                <w:rFonts w:cs="Arial"/>
                <w:bCs/>
                <w:color w:val="000000"/>
                <w:szCs w:val="24"/>
              </w:rPr>
            </w:pPr>
            <w:r>
              <w:rPr>
                <w:rFonts w:cs="Arial"/>
                <w:bCs/>
                <w:color w:val="000000"/>
                <w:szCs w:val="24"/>
              </w:rPr>
              <w:t>12%</w:t>
            </w:r>
          </w:p>
        </w:tc>
      </w:tr>
      <w:tr w:rsidR="00CE58F0" w:rsidRPr="00F6773F" w:rsidTr="00B42257">
        <w:trPr>
          <w:trHeight w:val="315"/>
        </w:trPr>
        <w:tc>
          <w:tcPr>
            <w:tcW w:w="4967" w:type="dxa"/>
            <w:tcBorders>
              <w:top w:val="nil"/>
              <w:left w:val="single" w:sz="4" w:space="0" w:color="auto"/>
              <w:right w:val="nil"/>
            </w:tcBorders>
            <w:shd w:val="clear" w:color="000000" w:fill="FFFFFF"/>
            <w:noWrap/>
            <w:vAlign w:val="bottom"/>
            <w:hideMark/>
          </w:tcPr>
          <w:p w:rsidR="00CE58F0" w:rsidRPr="00AE619F" w:rsidRDefault="00CE58F0" w:rsidP="00413B8D">
            <w:pPr>
              <w:rPr>
                <w:rFonts w:cs="Arial"/>
                <w:b/>
                <w:bCs/>
                <w:color w:val="000000"/>
                <w:szCs w:val="24"/>
              </w:rPr>
            </w:pPr>
          </w:p>
        </w:tc>
        <w:tc>
          <w:tcPr>
            <w:tcW w:w="992" w:type="dxa"/>
            <w:tcBorders>
              <w:top w:val="nil"/>
              <w:left w:val="nil"/>
              <w:right w:val="nil"/>
            </w:tcBorders>
            <w:shd w:val="clear" w:color="000000" w:fill="FFFFFF"/>
            <w:noWrap/>
            <w:vAlign w:val="bottom"/>
            <w:hideMark/>
          </w:tcPr>
          <w:p w:rsidR="00CE58F0" w:rsidRPr="00F97C80" w:rsidRDefault="00CE58F0" w:rsidP="00413B8D">
            <w:pPr>
              <w:rPr>
                <w:rFonts w:cs="Arial"/>
                <w:color w:val="000000"/>
                <w:szCs w:val="24"/>
              </w:rPr>
            </w:pPr>
          </w:p>
        </w:tc>
        <w:tc>
          <w:tcPr>
            <w:tcW w:w="1285" w:type="dxa"/>
            <w:tcBorders>
              <w:left w:val="nil"/>
              <w:right w:val="nil"/>
            </w:tcBorders>
            <w:shd w:val="clear" w:color="000000" w:fill="FFFFFF"/>
            <w:noWrap/>
            <w:vAlign w:val="bottom"/>
            <w:hideMark/>
          </w:tcPr>
          <w:p w:rsidR="00CE58F0" w:rsidRDefault="00CE58F0" w:rsidP="00413B8D">
            <w:pPr>
              <w:jc w:val="right"/>
              <w:rPr>
                <w:rFonts w:cs="Arial"/>
                <w:b/>
                <w:bCs/>
                <w:color w:val="000000"/>
                <w:szCs w:val="24"/>
              </w:rPr>
            </w:pPr>
          </w:p>
        </w:tc>
        <w:tc>
          <w:tcPr>
            <w:tcW w:w="830" w:type="dxa"/>
            <w:tcBorders>
              <w:left w:val="nil"/>
              <w:right w:val="nil"/>
            </w:tcBorders>
            <w:shd w:val="clear" w:color="000000" w:fill="FFFFFF"/>
            <w:noWrap/>
            <w:vAlign w:val="bottom"/>
            <w:hideMark/>
          </w:tcPr>
          <w:p w:rsidR="00CE58F0" w:rsidRDefault="00CE58F0" w:rsidP="00413B8D">
            <w:pPr>
              <w:jc w:val="right"/>
              <w:rPr>
                <w:rFonts w:cs="Arial"/>
                <w:b/>
                <w:bCs/>
                <w:color w:val="000000"/>
                <w:szCs w:val="24"/>
              </w:rPr>
            </w:pPr>
          </w:p>
        </w:tc>
        <w:tc>
          <w:tcPr>
            <w:tcW w:w="283" w:type="dxa"/>
            <w:tcBorders>
              <w:left w:val="nil"/>
              <w:right w:val="nil"/>
            </w:tcBorders>
            <w:shd w:val="clear" w:color="000000" w:fill="FFFFFF"/>
            <w:noWrap/>
            <w:vAlign w:val="bottom"/>
            <w:hideMark/>
          </w:tcPr>
          <w:p w:rsidR="00CE58F0" w:rsidRPr="003B4116" w:rsidRDefault="00CE58F0" w:rsidP="00413B8D">
            <w:pPr>
              <w:rPr>
                <w:rFonts w:cs="Arial"/>
                <w:b/>
                <w:color w:val="000000"/>
                <w:szCs w:val="24"/>
              </w:rPr>
            </w:pPr>
          </w:p>
        </w:tc>
        <w:tc>
          <w:tcPr>
            <w:tcW w:w="1571" w:type="dxa"/>
            <w:gridSpan w:val="2"/>
            <w:tcBorders>
              <w:left w:val="nil"/>
              <w:right w:val="nil"/>
            </w:tcBorders>
            <w:shd w:val="clear" w:color="000000" w:fill="FFFFFF"/>
            <w:noWrap/>
            <w:vAlign w:val="bottom"/>
            <w:hideMark/>
          </w:tcPr>
          <w:p w:rsidR="00CE58F0" w:rsidRPr="00F6773F" w:rsidRDefault="00CE58F0" w:rsidP="00413B8D">
            <w:pPr>
              <w:ind w:left="45" w:right="34"/>
              <w:jc w:val="right"/>
              <w:rPr>
                <w:rFonts w:cs="Arial"/>
                <w:b/>
                <w:bCs/>
                <w:color w:val="000000"/>
                <w:szCs w:val="24"/>
              </w:rPr>
            </w:pPr>
          </w:p>
        </w:tc>
        <w:tc>
          <w:tcPr>
            <w:tcW w:w="830" w:type="dxa"/>
            <w:tcBorders>
              <w:left w:val="nil"/>
              <w:right w:val="single" w:sz="4" w:space="0" w:color="auto"/>
            </w:tcBorders>
            <w:shd w:val="clear" w:color="000000" w:fill="FFFFFF"/>
            <w:noWrap/>
            <w:vAlign w:val="bottom"/>
            <w:hideMark/>
          </w:tcPr>
          <w:p w:rsidR="00CE58F0" w:rsidRDefault="00CE58F0" w:rsidP="00413B8D">
            <w:pPr>
              <w:jc w:val="right"/>
              <w:rPr>
                <w:rFonts w:cs="Arial"/>
                <w:b/>
                <w:bCs/>
                <w:color w:val="000000"/>
                <w:szCs w:val="24"/>
              </w:rPr>
            </w:pPr>
          </w:p>
        </w:tc>
      </w:tr>
      <w:tr w:rsidR="00CE58F0" w:rsidRPr="00F6773F" w:rsidTr="00B42257">
        <w:trPr>
          <w:trHeight w:val="315"/>
        </w:trPr>
        <w:tc>
          <w:tcPr>
            <w:tcW w:w="4967" w:type="dxa"/>
            <w:tcBorders>
              <w:left w:val="single" w:sz="4" w:space="0" w:color="auto"/>
              <w:right w:val="nil"/>
            </w:tcBorders>
            <w:shd w:val="clear" w:color="000000" w:fill="FFFFFF"/>
            <w:noWrap/>
            <w:vAlign w:val="bottom"/>
            <w:hideMark/>
          </w:tcPr>
          <w:p w:rsidR="00CE58F0" w:rsidRPr="00AE619F" w:rsidRDefault="00CE58F0" w:rsidP="00413B8D">
            <w:pPr>
              <w:rPr>
                <w:rFonts w:cs="Arial"/>
                <w:b/>
                <w:bCs/>
                <w:color w:val="000000"/>
                <w:szCs w:val="24"/>
              </w:rPr>
            </w:pPr>
            <w:r w:rsidRPr="00AE619F">
              <w:rPr>
                <w:rFonts w:cs="Arial"/>
                <w:b/>
                <w:bCs/>
                <w:color w:val="000000"/>
                <w:szCs w:val="24"/>
              </w:rPr>
              <w:t>Externally Managed Portfolios</w:t>
            </w:r>
          </w:p>
        </w:tc>
        <w:tc>
          <w:tcPr>
            <w:tcW w:w="992" w:type="dxa"/>
            <w:tcBorders>
              <w:left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left w:val="nil"/>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3,266.9</w:t>
            </w:r>
          </w:p>
        </w:tc>
        <w:tc>
          <w:tcPr>
            <w:tcW w:w="830" w:type="dxa"/>
            <w:tcBorders>
              <w:left w:val="nil"/>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64%</w:t>
            </w:r>
          </w:p>
        </w:tc>
        <w:tc>
          <w:tcPr>
            <w:tcW w:w="283" w:type="dxa"/>
            <w:tcBorders>
              <w:left w:val="nil"/>
              <w:right w:val="nil"/>
            </w:tcBorders>
            <w:shd w:val="clear" w:color="000000" w:fill="FFFFFF"/>
            <w:noWrap/>
            <w:vAlign w:val="bottom"/>
            <w:hideMark/>
          </w:tcPr>
          <w:p w:rsidR="00CE58F0" w:rsidRPr="006E28F2" w:rsidRDefault="00CE58F0" w:rsidP="00413B8D">
            <w:pPr>
              <w:rPr>
                <w:rFonts w:cs="Arial"/>
                <w:b/>
                <w:color w:val="000000"/>
                <w:szCs w:val="24"/>
              </w:rPr>
            </w:pPr>
            <w:r w:rsidRPr="003B4116">
              <w:rPr>
                <w:rFonts w:cs="Arial"/>
                <w:b/>
                <w:color w:val="000000"/>
                <w:szCs w:val="24"/>
              </w:rPr>
              <w:t> </w:t>
            </w:r>
          </w:p>
        </w:tc>
        <w:tc>
          <w:tcPr>
            <w:tcW w:w="1571" w:type="dxa"/>
            <w:gridSpan w:val="2"/>
            <w:tcBorders>
              <w:left w:val="nil"/>
              <w:right w:val="nil"/>
            </w:tcBorders>
            <w:shd w:val="clear" w:color="000000" w:fill="FFFFFF"/>
            <w:noWrap/>
            <w:vAlign w:val="bottom"/>
            <w:hideMark/>
          </w:tcPr>
          <w:p w:rsidR="00CE58F0" w:rsidRPr="00F6773F" w:rsidRDefault="00CE58F0" w:rsidP="00656082">
            <w:pPr>
              <w:ind w:left="45" w:right="34"/>
              <w:jc w:val="right"/>
              <w:rPr>
                <w:rFonts w:cs="Arial"/>
                <w:b/>
                <w:bCs/>
                <w:color w:val="000000"/>
                <w:szCs w:val="24"/>
              </w:rPr>
            </w:pPr>
            <w:r w:rsidRPr="00F6773F">
              <w:rPr>
                <w:rFonts w:cs="Arial"/>
                <w:b/>
                <w:bCs/>
                <w:color w:val="000000"/>
                <w:szCs w:val="24"/>
              </w:rPr>
              <w:t xml:space="preserve">   4,</w:t>
            </w:r>
            <w:r w:rsidR="00656082">
              <w:rPr>
                <w:rFonts w:cs="Arial"/>
                <w:b/>
                <w:bCs/>
                <w:color w:val="000000"/>
                <w:szCs w:val="24"/>
              </w:rPr>
              <w:t>037.1</w:t>
            </w:r>
            <w:r w:rsidRPr="00F6773F">
              <w:rPr>
                <w:rFonts w:cs="Arial"/>
                <w:b/>
                <w:bCs/>
                <w:color w:val="000000"/>
                <w:szCs w:val="24"/>
              </w:rPr>
              <w:t xml:space="preserve"> </w:t>
            </w:r>
          </w:p>
        </w:tc>
        <w:tc>
          <w:tcPr>
            <w:tcW w:w="830" w:type="dxa"/>
            <w:tcBorders>
              <w:left w:val="nil"/>
              <w:right w:val="single" w:sz="4" w:space="0" w:color="auto"/>
            </w:tcBorders>
            <w:shd w:val="clear" w:color="000000" w:fill="FFFFFF"/>
            <w:noWrap/>
            <w:vAlign w:val="bottom"/>
            <w:hideMark/>
          </w:tcPr>
          <w:p w:rsidR="00CE58F0" w:rsidRPr="00F6773F" w:rsidRDefault="00CE58F0" w:rsidP="00413B8D">
            <w:pPr>
              <w:jc w:val="right"/>
              <w:rPr>
                <w:rFonts w:cs="Arial"/>
                <w:b/>
                <w:bCs/>
                <w:color w:val="000000"/>
                <w:szCs w:val="24"/>
              </w:rPr>
            </w:pPr>
            <w:r>
              <w:rPr>
                <w:rFonts w:cs="Arial"/>
                <w:b/>
                <w:bCs/>
                <w:color w:val="000000"/>
                <w:szCs w:val="24"/>
              </w:rPr>
              <w:t>81</w:t>
            </w:r>
            <w:r w:rsidRPr="00F6773F">
              <w:rPr>
                <w:rFonts w:cs="Arial"/>
                <w:b/>
                <w:bCs/>
                <w:color w:val="000000"/>
                <w:szCs w:val="24"/>
              </w:rPr>
              <w:t>%</w:t>
            </w:r>
          </w:p>
        </w:tc>
      </w:tr>
      <w:tr w:rsidR="00CE58F0" w:rsidRPr="00F6773F" w:rsidTr="00B42257">
        <w:trPr>
          <w:trHeight w:val="315"/>
        </w:trPr>
        <w:tc>
          <w:tcPr>
            <w:tcW w:w="4967" w:type="dxa"/>
            <w:tcBorders>
              <w:left w:val="single" w:sz="4" w:space="0" w:color="auto"/>
              <w:right w:val="nil"/>
            </w:tcBorders>
            <w:shd w:val="clear" w:color="000000" w:fill="FFFFFF"/>
            <w:noWrap/>
            <w:vAlign w:val="bottom"/>
            <w:hideMark/>
          </w:tcPr>
          <w:p w:rsidR="00B42257" w:rsidRDefault="00B42257" w:rsidP="00413B8D">
            <w:pPr>
              <w:rPr>
                <w:rFonts w:cs="Arial"/>
                <w:bCs/>
                <w:color w:val="000000"/>
                <w:szCs w:val="24"/>
                <w:u w:val="single"/>
              </w:rPr>
            </w:pPr>
          </w:p>
          <w:p w:rsidR="00B42257" w:rsidRDefault="00B42257" w:rsidP="00413B8D">
            <w:pPr>
              <w:rPr>
                <w:rFonts w:cs="Arial"/>
                <w:bCs/>
                <w:color w:val="000000"/>
                <w:szCs w:val="24"/>
                <w:u w:val="single"/>
              </w:rPr>
            </w:pPr>
          </w:p>
          <w:p w:rsidR="00CE58F0" w:rsidRPr="00D13AC7" w:rsidRDefault="00CE58F0" w:rsidP="00413B8D">
            <w:pPr>
              <w:rPr>
                <w:rFonts w:cs="Arial"/>
                <w:bCs/>
                <w:color w:val="000000"/>
                <w:szCs w:val="24"/>
                <w:u w:val="single"/>
              </w:rPr>
            </w:pPr>
            <w:r w:rsidRPr="00D13AC7">
              <w:rPr>
                <w:rFonts w:cs="Arial"/>
                <w:bCs/>
                <w:color w:val="000000"/>
                <w:szCs w:val="24"/>
                <w:u w:val="single"/>
              </w:rPr>
              <w:t>Internally Managed</w:t>
            </w:r>
          </w:p>
        </w:tc>
        <w:tc>
          <w:tcPr>
            <w:tcW w:w="992" w:type="dxa"/>
            <w:tcBorders>
              <w:left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left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830" w:type="dxa"/>
            <w:tcBorders>
              <w:left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283" w:type="dxa"/>
            <w:tcBorders>
              <w:left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571" w:type="dxa"/>
            <w:gridSpan w:val="2"/>
            <w:tcBorders>
              <w:left w:val="nil"/>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830" w:type="dxa"/>
            <w:tcBorders>
              <w:left w:val="nil"/>
              <w:right w:val="single" w:sz="4" w:space="0" w:color="auto"/>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r>
      <w:tr w:rsidR="00D13AC7" w:rsidRPr="00F6773F" w:rsidTr="00B42257">
        <w:trPr>
          <w:trHeight w:val="300"/>
        </w:trPr>
        <w:tc>
          <w:tcPr>
            <w:tcW w:w="4967" w:type="dxa"/>
            <w:tcBorders>
              <w:left w:val="single" w:sz="4" w:space="0" w:color="auto"/>
              <w:bottom w:val="nil"/>
              <w:right w:val="nil"/>
            </w:tcBorders>
            <w:shd w:val="clear" w:color="000000" w:fill="FFFFFF"/>
            <w:noWrap/>
            <w:vAlign w:val="bottom"/>
          </w:tcPr>
          <w:p w:rsidR="00D13AC7" w:rsidRPr="00F97C80" w:rsidRDefault="00D13AC7" w:rsidP="00413B8D">
            <w:pPr>
              <w:rPr>
                <w:rFonts w:cs="Arial"/>
                <w:color w:val="000000"/>
                <w:szCs w:val="24"/>
              </w:rPr>
            </w:pPr>
          </w:p>
        </w:tc>
        <w:tc>
          <w:tcPr>
            <w:tcW w:w="992" w:type="dxa"/>
            <w:tcBorders>
              <w:left w:val="nil"/>
              <w:bottom w:val="nil"/>
              <w:right w:val="nil"/>
            </w:tcBorders>
            <w:shd w:val="clear" w:color="000000" w:fill="FFFFFF"/>
            <w:noWrap/>
            <w:vAlign w:val="bottom"/>
          </w:tcPr>
          <w:p w:rsidR="00D13AC7" w:rsidRPr="00F97C80" w:rsidRDefault="00D13AC7" w:rsidP="00413B8D">
            <w:pPr>
              <w:rPr>
                <w:rFonts w:cs="Arial"/>
                <w:color w:val="000000"/>
                <w:szCs w:val="24"/>
              </w:rPr>
            </w:pPr>
          </w:p>
        </w:tc>
        <w:tc>
          <w:tcPr>
            <w:tcW w:w="1285" w:type="dxa"/>
            <w:tcBorders>
              <w:left w:val="nil"/>
              <w:bottom w:val="nil"/>
              <w:right w:val="nil"/>
            </w:tcBorders>
            <w:shd w:val="clear" w:color="000000" w:fill="FFFFFF"/>
            <w:noWrap/>
            <w:vAlign w:val="bottom"/>
          </w:tcPr>
          <w:p w:rsidR="00D13AC7" w:rsidRDefault="00D13AC7" w:rsidP="00413B8D">
            <w:pPr>
              <w:jc w:val="right"/>
              <w:rPr>
                <w:rFonts w:cs="Arial"/>
                <w:color w:val="000000"/>
                <w:szCs w:val="24"/>
              </w:rPr>
            </w:pPr>
          </w:p>
        </w:tc>
        <w:tc>
          <w:tcPr>
            <w:tcW w:w="830" w:type="dxa"/>
            <w:tcBorders>
              <w:left w:val="nil"/>
              <w:bottom w:val="nil"/>
              <w:right w:val="nil"/>
            </w:tcBorders>
            <w:shd w:val="clear" w:color="000000" w:fill="FFFFFF"/>
            <w:noWrap/>
            <w:vAlign w:val="bottom"/>
          </w:tcPr>
          <w:p w:rsidR="00D13AC7" w:rsidRDefault="00D13AC7" w:rsidP="00413B8D">
            <w:pPr>
              <w:jc w:val="right"/>
              <w:rPr>
                <w:rFonts w:cs="Arial"/>
                <w:color w:val="000000"/>
                <w:szCs w:val="24"/>
              </w:rPr>
            </w:pPr>
          </w:p>
        </w:tc>
        <w:tc>
          <w:tcPr>
            <w:tcW w:w="283" w:type="dxa"/>
            <w:tcBorders>
              <w:left w:val="nil"/>
              <w:bottom w:val="nil"/>
              <w:right w:val="nil"/>
            </w:tcBorders>
            <w:shd w:val="clear" w:color="000000" w:fill="FFFFFF"/>
            <w:noWrap/>
            <w:vAlign w:val="bottom"/>
          </w:tcPr>
          <w:p w:rsidR="00D13AC7" w:rsidRPr="00F6773F" w:rsidRDefault="00D13AC7" w:rsidP="00413B8D">
            <w:pPr>
              <w:jc w:val="right"/>
              <w:rPr>
                <w:rFonts w:cs="Arial"/>
                <w:color w:val="000000"/>
                <w:szCs w:val="24"/>
              </w:rPr>
            </w:pPr>
          </w:p>
        </w:tc>
        <w:tc>
          <w:tcPr>
            <w:tcW w:w="1571" w:type="dxa"/>
            <w:gridSpan w:val="2"/>
            <w:tcBorders>
              <w:left w:val="nil"/>
              <w:bottom w:val="nil"/>
              <w:right w:val="nil"/>
            </w:tcBorders>
            <w:shd w:val="clear" w:color="000000" w:fill="FFFFFF"/>
            <w:noWrap/>
            <w:vAlign w:val="bottom"/>
          </w:tcPr>
          <w:p w:rsidR="00D13AC7" w:rsidRPr="00F97C80" w:rsidRDefault="00D13AC7" w:rsidP="00413B8D">
            <w:pPr>
              <w:jc w:val="right"/>
              <w:rPr>
                <w:rFonts w:cs="Arial"/>
                <w:color w:val="000000"/>
                <w:szCs w:val="24"/>
              </w:rPr>
            </w:pPr>
          </w:p>
        </w:tc>
        <w:tc>
          <w:tcPr>
            <w:tcW w:w="830" w:type="dxa"/>
            <w:tcBorders>
              <w:left w:val="nil"/>
              <w:bottom w:val="nil"/>
              <w:right w:val="single" w:sz="4" w:space="0" w:color="auto"/>
            </w:tcBorders>
            <w:shd w:val="clear" w:color="000000" w:fill="FFFFFF"/>
            <w:noWrap/>
            <w:vAlign w:val="bottom"/>
          </w:tcPr>
          <w:p w:rsidR="00D13AC7" w:rsidRPr="00F97C80" w:rsidRDefault="00D13AC7" w:rsidP="00413B8D">
            <w:pPr>
              <w:jc w:val="right"/>
              <w:rPr>
                <w:rFonts w:cs="Arial"/>
                <w:color w:val="000000"/>
                <w:szCs w:val="24"/>
              </w:rPr>
            </w:pPr>
          </w:p>
        </w:tc>
      </w:tr>
      <w:tr w:rsidR="00CE58F0" w:rsidRPr="00F6773F" w:rsidTr="00B42257">
        <w:trPr>
          <w:trHeight w:val="300"/>
        </w:trPr>
        <w:tc>
          <w:tcPr>
            <w:tcW w:w="4967" w:type="dxa"/>
            <w:tcBorders>
              <w:left w:val="single" w:sz="4" w:space="0" w:color="auto"/>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xml:space="preserve">Credit </w:t>
            </w:r>
            <w:r>
              <w:rPr>
                <w:rFonts w:cs="Arial"/>
                <w:color w:val="000000"/>
                <w:szCs w:val="24"/>
              </w:rPr>
              <w:t>Strategies</w:t>
            </w:r>
          </w:p>
        </w:tc>
        <w:tc>
          <w:tcPr>
            <w:tcW w:w="992" w:type="dxa"/>
            <w:tcBorders>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784.1</w:t>
            </w:r>
          </w:p>
        </w:tc>
        <w:tc>
          <w:tcPr>
            <w:tcW w:w="830" w:type="dxa"/>
            <w:tcBorders>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15%</w:t>
            </w:r>
          </w:p>
        </w:tc>
        <w:tc>
          <w:tcPr>
            <w:tcW w:w="283" w:type="dxa"/>
            <w:tcBorders>
              <w:left w:val="nil"/>
              <w:bottom w:val="nil"/>
              <w:right w:val="nil"/>
            </w:tcBorders>
            <w:shd w:val="clear" w:color="000000" w:fill="FFFFFF"/>
            <w:noWrap/>
            <w:vAlign w:val="bottom"/>
            <w:hideMark/>
          </w:tcPr>
          <w:p w:rsidR="00CE58F0" w:rsidRPr="00F6773F" w:rsidRDefault="00CE58F0" w:rsidP="00413B8D">
            <w:pPr>
              <w:jc w:val="right"/>
              <w:rPr>
                <w:rFonts w:cs="Arial"/>
                <w:color w:val="000000"/>
                <w:szCs w:val="24"/>
              </w:rPr>
            </w:pPr>
            <w:r w:rsidRPr="00F6773F">
              <w:rPr>
                <w:rFonts w:cs="Arial"/>
                <w:color w:val="000000"/>
                <w:szCs w:val="24"/>
              </w:rPr>
              <w:t> </w:t>
            </w:r>
          </w:p>
        </w:tc>
        <w:tc>
          <w:tcPr>
            <w:tcW w:w="1571" w:type="dxa"/>
            <w:gridSpan w:val="2"/>
            <w:tcBorders>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sidRPr="00F97C80">
              <w:rPr>
                <w:rFonts w:cs="Arial"/>
                <w:color w:val="000000"/>
                <w:szCs w:val="24"/>
              </w:rPr>
              <w:t xml:space="preserve">       424.0 </w:t>
            </w:r>
          </w:p>
        </w:tc>
        <w:tc>
          <w:tcPr>
            <w:tcW w:w="830" w:type="dxa"/>
            <w:tcBorders>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sidRPr="00F97C80">
              <w:rPr>
                <w:rFonts w:cs="Arial"/>
                <w:color w:val="000000"/>
                <w:szCs w:val="24"/>
              </w:rPr>
              <w:t>9%</w:t>
            </w:r>
          </w:p>
        </w:tc>
      </w:tr>
      <w:tr w:rsidR="00CE58F0" w:rsidRPr="00F6773F" w:rsidTr="00656082">
        <w:trPr>
          <w:trHeight w:val="300"/>
        </w:trPr>
        <w:tc>
          <w:tcPr>
            <w:tcW w:w="4967" w:type="dxa"/>
            <w:tcBorders>
              <w:top w:val="nil"/>
              <w:left w:val="single" w:sz="4" w:space="0" w:color="auto"/>
              <w:bottom w:val="nil"/>
              <w:right w:val="nil"/>
            </w:tcBorders>
            <w:shd w:val="clear" w:color="000000" w:fill="FFFFFF"/>
            <w:noWrap/>
            <w:vAlign w:val="bottom"/>
            <w:hideMark/>
          </w:tcPr>
          <w:p w:rsidR="00CE58F0" w:rsidRPr="004B380D" w:rsidRDefault="00CE58F0" w:rsidP="00413B8D">
            <w:pPr>
              <w:rPr>
                <w:rFonts w:cs="Arial"/>
                <w:color w:val="000000"/>
                <w:szCs w:val="24"/>
              </w:rPr>
            </w:pPr>
            <w:r>
              <w:rPr>
                <w:rFonts w:cs="Arial"/>
                <w:color w:val="000000"/>
                <w:szCs w:val="24"/>
              </w:rPr>
              <w:t>Bonds</w:t>
            </w:r>
            <w:r w:rsidR="00656082">
              <w:rPr>
                <w:rFonts w:cs="Arial"/>
                <w:color w:val="000000"/>
                <w:szCs w:val="24"/>
              </w:rPr>
              <w:t xml:space="preserve"> and cash</w:t>
            </w:r>
          </w:p>
        </w:tc>
        <w:tc>
          <w:tcPr>
            <w:tcW w:w="992" w:type="dxa"/>
            <w:tcBorders>
              <w:top w:val="nil"/>
              <w:left w:val="nil"/>
              <w:bottom w:val="nil"/>
              <w:right w:val="nil"/>
            </w:tcBorders>
            <w:shd w:val="clear" w:color="000000" w:fill="FFFFFF"/>
            <w:noWrap/>
            <w:vAlign w:val="bottom"/>
            <w:hideMark/>
          </w:tcPr>
          <w:p w:rsidR="00CE58F0" w:rsidRDefault="00CE58F0" w:rsidP="00413B8D">
            <w:pPr>
              <w:ind w:left="-128"/>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4E0E6D" w:rsidP="00413B8D">
            <w:pPr>
              <w:jc w:val="right"/>
              <w:rPr>
                <w:rFonts w:cs="Arial"/>
                <w:color w:val="000000"/>
                <w:szCs w:val="24"/>
              </w:rPr>
            </w:pPr>
            <w:r>
              <w:rPr>
                <w:rFonts w:cs="Arial"/>
                <w:color w:val="000000"/>
                <w:szCs w:val="24"/>
              </w:rPr>
              <w:t>715.7</w:t>
            </w:r>
          </w:p>
        </w:tc>
        <w:tc>
          <w:tcPr>
            <w:tcW w:w="830" w:type="dxa"/>
            <w:tcBorders>
              <w:top w:val="nil"/>
              <w:left w:val="nil"/>
              <w:bottom w:val="nil"/>
              <w:right w:val="nil"/>
            </w:tcBorders>
            <w:shd w:val="clear" w:color="000000" w:fill="FFFFFF"/>
            <w:noWrap/>
            <w:vAlign w:val="bottom"/>
          </w:tcPr>
          <w:p w:rsidR="00CE58F0" w:rsidRPr="004534A9" w:rsidRDefault="004E0E6D" w:rsidP="00413B8D">
            <w:pPr>
              <w:jc w:val="right"/>
              <w:rPr>
                <w:rFonts w:cs="Arial"/>
                <w:color w:val="000000"/>
                <w:szCs w:val="24"/>
              </w:rPr>
            </w:pPr>
            <w:r>
              <w:rPr>
                <w:rFonts w:cs="Arial"/>
                <w:color w:val="000000"/>
                <w:szCs w:val="24"/>
              </w:rPr>
              <w:t>14</w:t>
            </w:r>
            <w:r w:rsidR="004534A9" w:rsidRPr="004534A9">
              <w:rPr>
                <w:rFonts w:cs="Arial"/>
                <w:color w:val="000000"/>
                <w:szCs w:val="24"/>
              </w:rPr>
              <w:t>%</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jc w:val="right"/>
              <w:rPr>
                <w:rFonts w:cs="Arial"/>
                <w:color w:val="000000"/>
                <w:szCs w:val="24"/>
              </w:rPr>
            </w:pPr>
          </w:p>
        </w:tc>
        <w:tc>
          <w:tcPr>
            <w:tcW w:w="1571" w:type="dxa"/>
            <w:gridSpan w:val="2"/>
            <w:tcBorders>
              <w:top w:val="nil"/>
              <w:left w:val="nil"/>
              <w:bottom w:val="nil"/>
              <w:right w:val="nil"/>
            </w:tcBorders>
            <w:shd w:val="clear" w:color="000000" w:fill="FFFFFF"/>
            <w:noWrap/>
            <w:vAlign w:val="bottom"/>
          </w:tcPr>
          <w:p w:rsidR="00CE58F0" w:rsidRPr="004E0E6D" w:rsidRDefault="004E0E6D" w:rsidP="00413B8D">
            <w:pPr>
              <w:jc w:val="right"/>
              <w:rPr>
                <w:rFonts w:cs="Arial"/>
                <w:color w:val="000000"/>
                <w:szCs w:val="24"/>
              </w:rPr>
            </w:pPr>
            <w:r w:rsidRPr="004E0E6D">
              <w:rPr>
                <w:rFonts w:cs="Arial"/>
                <w:color w:val="000000"/>
                <w:szCs w:val="24"/>
              </w:rPr>
              <w:t>224.4</w:t>
            </w:r>
          </w:p>
        </w:tc>
        <w:tc>
          <w:tcPr>
            <w:tcW w:w="830" w:type="dxa"/>
            <w:tcBorders>
              <w:top w:val="nil"/>
              <w:left w:val="nil"/>
              <w:bottom w:val="nil"/>
              <w:right w:val="single" w:sz="4" w:space="0" w:color="auto"/>
            </w:tcBorders>
            <w:shd w:val="clear" w:color="000000" w:fill="FFFFFF"/>
            <w:noWrap/>
            <w:vAlign w:val="bottom"/>
          </w:tcPr>
          <w:p w:rsidR="00CE58F0" w:rsidRPr="004E0E6D" w:rsidRDefault="004E0E6D" w:rsidP="00413B8D">
            <w:pPr>
              <w:jc w:val="right"/>
              <w:rPr>
                <w:rFonts w:cs="Arial"/>
                <w:color w:val="000000"/>
                <w:szCs w:val="24"/>
              </w:rPr>
            </w:pPr>
            <w:r w:rsidRPr="004E0E6D">
              <w:rPr>
                <w:rFonts w:cs="Arial"/>
                <w:color w:val="000000"/>
                <w:szCs w:val="24"/>
              </w:rPr>
              <w:t>5%</w:t>
            </w:r>
          </w:p>
        </w:tc>
      </w:tr>
      <w:tr w:rsidR="00834FC9" w:rsidRPr="00F6773F" w:rsidTr="00413B8D">
        <w:trPr>
          <w:trHeight w:val="300"/>
        </w:trPr>
        <w:tc>
          <w:tcPr>
            <w:tcW w:w="4967" w:type="dxa"/>
            <w:tcBorders>
              <w:top w:val="nil"/>
              <w:left w:val="single" w:sz="4" w:space="0" w:color="auto"/>
              <w:bottom w:val="nil"/>
              <w:right w:val="nil"/>
            </w:tcBorders>
            <w:shd w:val="clear" w:color="000000" w:fill="FFFFFF"/>
            <w:noWrap/>
            <w:vAlign w:val="bottom"/>
          </w:tcPr>
          <w:p w:rsidR="00834FC9" w:rsidRDefault="00834FC9" w:rsidP="00413B8D">
            <w:pPr>
              <w:rPr>
                <w:rFonts w:cs="Arial"/>
                <w:color w:val="000000"/>
                <w:szCs w:val="24"/>
              </w:rPr>
            </w:pPr>
            <w:r>
              <w:rPr>
                <w:rFonts w:cs="Arial"/>
                <w:color w:val="000000"/>
                <w:szCs w:val="24"/>
              </w:rPr>
              <w:t>Equity Funds</w:t>
            </w:r>
          </w:p>
        </w:tc>
        <w:tc>
          <w:tcPr>
            <w:tcW w:w="992" w:type="dxa"/>
            <w:tcBorders>
              <w:top w:val="nil"/>
              <w:left w:val="nil"/>
              <w:bottom w:val="nil"/>
              <w:right w:val="nil"/>
            </w:tcBorders>
            <w:shd w:val="clear" w:color="000000" w:fill="FFFFFF"/>
            <w:noWrap/>
            <w:vAlign w:val="bottom"/>
          </w:tcPr>
          <w:p w:rsidR="00834FC9" w:rsidRPr="004B380D" w:rsidRDefault="00834FC9" w:rsidP="00413B8D">
            <w:pPr>
              <w:rPr>
                <w:rFonts w:cs="Arial"/>
                <w:color w:val="000000"/>
                <w:szCs w:val="24"/>
              </w:rPr>
            </w:pPr>
          </w:p>
        </w:tc>
        <w:tc>
          <w:tcPr>
            <w:tcW w:w="1285" w:type="dxa"/>
            <w:tcBorders>
              <w:top w:val="nil"/>
              <w:left w:val="nil"/>
              <w:bottom w:val="nil"/>
              <w:right w:val="nil"/>
            </w:tcBorders>
            <w:shd w:val="clear" w:color="000000" w:fill="FFFFFF"/>
            <w:noWrap/>
            <w:vAlign w:val="bottom"/>
          </w:tcPr>
          <w:p w:rsidR="00834FC9" w:rsidRDefault="00834FC9" w:rsidP="00834FC9">
            <w:pPr>
              <w:jc w:val="right"/>
              <w:rPr>
                <w:rFonts w:cs="Arial"/>
                <w:color w:val="000000"/>
                <w:szCs w:val="24"/>
              </w:rPr>
            </w:pPr>
            <w:r>
              <w:rPr>
                <w:rFonts w:cs="Arial"/>
                <w:color w:val="000000"/>
                <w:szCs w:val="24"/>
              </w:rPr>
              <w:t>206.6</w:t>
            </w:r>
          </w:p>
        </w:tc>
        <w:tc>
          <w:tcPr>
            <w:tcW w:w="830" w:type="dxa"/>
            <w:tcBorders>
              <w:top w:val="nil"/>
              <w:left w:val="nil"/>
              <w:bottom w:val="nil"/>
              <w:right w:val="nil"/>
            </w:tcBorders>
            <w:shd w:val="clear" w:color="000000" w:fill="FFFFFF"/>
            <w:noWrap/>
            <w:vAlign w:val="bottom"/>
          </w:tcPr>
          <w:p w:rsidR="00834FC9" w:rsidRPr="004534A9" w:rsidRDefault="004534A9" w:rsidP="00413B8D">
            <w:pPr>
              <w:jc w:val="right"/>
              <w:rPr>
                <w:rFonts w:cs="Arial"/>
                <w:szCs w:val="24"/>
              </w:rPr>
            </w:pPr>
            <w:r>
              <w:rPr>
                <w:rFonts w:cs="Arial"/>
                <w:szCs w:val="24"/>
              </w:rPr>
              <w:t>4</w:t>
            </w:r>
            <w:r w:rsidRPr="004534A9">
              <w:rPr>
                <w:rFonts w:cs="Arial"/>
                <w:szCs w:val="24"/>
              </w:rPr>
              <w:t>%</w:t>
            </w:r>
          </w:p>
        </w:tc>
        <w:tc>
          <w:tcPr>
            <w:tcW w:w="283" w:type="dxa"/>
            <w:tcBorders>
              <w:top w:val="nil"/>
              <w:left w:val="nil"/>
              <w:bottom w:val="nil"/>
              <w:right w:val="nil"/>
            </w:tcBorders>
            <w:shd w:val="clear" w:color="000000" w:fill="FFFFFF"/>
            <w:noWrap/>
            <w:vAlign w:val="bottom"/>
          </w:tcPr>
          <w:p w:rsidR="00834FC9" w:rsidRPr="00F6773F" w:rsidRDefault="00834FC9" w:rsidP="00413B8D">
            <w:pPr>
              <w:jc w:val="right"/>
              <w:rPr>
                <w:rFonts w:cs="Arial"/>
                <w:color w:val="000000"/>
                <w:szCs w:val="24"/>
              </w:rPr>
            </w:pPr>
          </w:p>
        </w:tc>
        <w:tc>
          <w:tcPr>
            <w:tcW w:w="1571" w:type="dxa"/>
            <w:gridSpan w:val="2"/>
            <w:tcBorders>
              <w:top w:val="nil"/>
              <w:left w:val="nil"/>
              <w:bottom w:val="nil"/>
              <w:right w:val="nil"/>
            </w:tcBorders>
            <w:shd w:val="clear" w:color="000000" w:fill="FFFFFF"/>
            <w:noWrap/>
            <w:vAlign w:val="bottom"/>
          </w:tcPr>
          <w:p w:rsidR="00834FC9" w:rsidRDefault="00834FC9" w:rsidP="00413B8D">
            <w:pPr>
              <w:jc w:val="right"/>
              <w:rPr>
                <w:rFonts w:cs="Arial"/>
                <w:color w:val="000000"/>
                <w:szCs w:val="24"/>
              </w:rPr>
            </w:pPr>
            <w:r>
              <w:rPr>
                <w:rFonts w:cs="Arial"/>
                <w:color w:val="000000"/>
                <w:szCs w:val="24"/>
              </w:rPr>
              <w:t>0.0</w:t>
            </w:r>
          </w:p>
        </w:tc>
        <w:tc>
          <w:tcPr>
            <w:tcW w:w="830" w:type="dxa"/>
            <w:tcBorders>
              <w:top w:val="nil"/>
              <w:left w:val="nil"/>
              <w:bottom w:val="nil"/>
              <w:right w:val="single" w:sz="4" w:space="0" w:color="auto"/>
            </w:tcBorders>
            <w:shd w:val="clear" w:color="000000" w:fill="FFFFFF"/>
            <w:noWrap/>
            <w:vAlign w:val="bottom"/>
          </w:tcPr>
          <w:p w:rsidR="00834FC9" w:rsidRDefault="00834FC9" w:rsidP="00413B8D">
            <w:pPr>
              <w:jc w:val="right"/>
              <w:rPr>
                <w:rFonts w:cs="Arial"/>
                <w:color w:val="000000"/>
                <w:szCs w:val="24"/>
              </w:rPr>
            </w:pPr>
            <w:r>
              <w:rPr>
                <w:rFonts w:cs="Arial"/>
                <w:color w:val="000000"/>
                <w:szCs w:val="24"/>
              </w:rPr>
              <w:t>0%</w:t>
            </w:r>
          </w:p>
        </w:tc>
      </w:tr>
      <w:tr w:rsidR="00CE58F0" w:rsidRPr="00F6773F" w:rsidTr="00413B8D">
        <w:trPr>
          <w:trHeight w:val="300"/>
        </w:trPr>
        <w:tc>
          <w:tcPr>
            <w:tcW w:w="4967" w:type="dxa"/>
            <w:tcBorders>
              <w:top w:val="nil"/>
              <w:left w:val="single" w:sz="4" w:space="0" w:color="auto"/>
              <w:bottom w:val="nil"/>
              <w:right w:val="nil"/>
            </w:tcBorders>
            <w:shd w:val="clear" w:color="000000" w:fill="FFFFFF"/>
            <w:noWrap/>
            <w:vAlign w:val="bottom"/>
            <w:hideMark/>
          </w:tcPr>
          <w:p w:rsidR="00CE58F0" w:rsidRPr="004B380D" w:rsidRDefault="00CE58F0" w:rsidP="00413B8D">
            <w:pPr>
              <w:rPr>
                <w:rFonts w:cs="Arial"/>
                <w:color w:val="000000"/>
                <w:szCs w:val="24"/>
              </w:rPr>
            </w:pPr>
            <w:r>
              <w:rPr>
                <w:rFonts w:cs="Arial"/>
                <w:color w:val="000000"/>
                <w:szCs w:val="24"/>
              </w:rPr>
              <w:t>Infrastructure Funds</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172.8</w:t>
            </w:r>
          </w:p>
        </w:tc>
        <w:tc>
          <w:tcPr>
            <w:tcW w:w="830" w:type="dxa"/>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3%</w:t>
            </w:r>
          </w:p>
        </w:tc>
        <w:tc>
          <w:tcPr>
            <w:tcW w:w="283" w:type="dxa"/>
            <w:tcBorders>
              <w:top w:val="nil"/>
              <w:left w:val="nil"/>
              <w:bottom w:val="nil"/>
              <w:right w:val="nil"/>
            </w:tcBorders>
            <w:shd w:val="clear" w:color="000000" w:fill="FFFFFF"/>
            <w:noWrap/>
            <w:vAlign w:val="bottom"/>
            <w:hideMark/>
          </w:tcPr>
          <w:p w:rsidR="00CE58F0" w:rsidRPr="00F6773F" w:rsidRDefault="00CE58F0" w:rsidP="00413B8D">
            <w:pPr>
              <w:jc w:val="right"/>
              <w:rPr>
                <w:rFonts w:cs="Arial"/>
                <w:color w:val="000000"/>
                <w:szCs w:val="24"/>
              </w:rPr>
            </w:pPr>
          </w:p>
        </w:tc>
        <w:tc>
          <w:tcPr>
            <w:tcW w:w="1571" w:type="dxa"/>
            <w:gridSpan w:val="2"/>
            <w:tcBorders>
              <w:top w:val="nil"/>
              <w:left w:val="nil"/>
              <w:bottom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76.9</w:t>
            </w:r>
          </w:p>
        </w:tc>
        <w:tc>
          <w:tcPr>
            <w:tcW w:w="830" w:type="dxa"/>
            <w:tcBorders>
              <w:top w:val="nil"/>
              <w:left w:val="nil"/>
              <w:bottom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1%</w:t>
            </w:r>
          </w:p>
        </w:tc>
      </w:tr>
      <w:tr w:rsidR="00CE58F0" w:rsidRPr="00F6773F" w:rsidTr="00413B8D">
        <w:trPr>
          <w:trHeight w:val="300"/>
        </w:trPr>
        <w:tc>
          <w:tcPr>
            <w:tcW w:w="4967" w:type="dxa"/>
            <w:tcBorders>
              <w:top w:val="nil"/>
              <w:left w:val="single" w:sz="4" w:space="0" w:color="auto"/>
              <w:right w:val="nil"/>
            </w:tcBorders>
            <w:shd w:val="clear" w:color="000000" w:fill="FFFFFF"/>
            <w:noWrap/>
            <w:vAlign w:val="bottom"/>
            <w:hideMark/>
          </w:tcPr>
          <w:p w:rsidR="00CE58F0" w:rsidRDefault="00CE58F0" w:rsidP="00413B8D">
            <w:pPr>
              <w:rPr>
                <w:rFonts w:cs="Arial"/>
                <w:color w:val="000000"/>
                <w:szCs w:val="24"/>
              </w:rPr>
            </w:pPr>
            <w:r>
              <w:rPr>
                <w:rFonts w:cs="Arial"/>
                <w:color w:val="000000"/>
                <w:szCs w:val="24"/>
              </w:rPr>
              <w:t>Indirect Property Funds</w:t>
            </w:r>
          </w:p>
        </w:tc>
        <w:tc>
          <w:tcPr>
            <w:tcW w:w="992" w:type="dxa"/>
            <w:tcBorders>
              <w:top w:val="nil"/>
              <w:left w:val="nil"/>
              <w:right w:val="nil"/>
            </w:tcBorders>
            <w:shd w:val="clear" w:color="000000" w:fill="FFFFFF"/>
            <w:noWrap/>
            <w:vAlign w:val="bottom"/>
            <w:hideMark/>
          </w:tcPr>
          <w:p w:rsidR="00CE58F0" w:rsidRPr="004B380D" w:rsidRDefault="00CE58F0" w:rsidP="00413B8D">
            <w:pPr>
              <w:rPr>
                <w:rFonts w:cs="Arial"/>
                <w:color w:val="000000"/>
                <w:szCs w:val="24"/>
              </w:rPr>
            </w:pPr>
          </w:p>
        </w:tc>
        <w:tc>
          <w:tcPr>
            <w:tcW w:w="1285"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25.4</w:t>
            </w:r>
          </w:p>
        </w:tc>
        <w:tc>
          <w:tcPr>
            <w:tcW w:w="830" w:type="dxa"/>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0%</w:t>
            </w:r>
          </w:p>
        </w:tc>
        <w:tc>
          <w:tcPr>
            <w:tcW w:w="283" w:type="dxa"/>
            <w:tcBorders>
              <w:top w:val="nil"/>
              <w:left w:val="nil"/>
              <w:right w:val="nil"/>
            </w:tcBorders>
            <w:shd w:val="clear" w:color="000000" w:fill="FFFFFF"/>
            <w:noWrap/>
            <w:vAlign w:val="bottom"/>
            <w:hideMark/>
          </w:tcPr>
          <w:p w:rsidR="00CE58F0" w:rsidRPr="00F6773F" w:rsidRDefault="00CE58F0" w:rsidP="00413B8D">
            <w:pPr>
              <w:jc w:val="right"/>
              <w:rPr>
                <w:rFonts w:cs="Arial"/>
                <w:color w:val="000000"/>
                <w:szCs w:val="24"/>
              </w:rPr>
            </w:pPr>
          </w:p>
        </w:tc>
        <w:tc>
          <w:tcPr>
            <w:tcW w:w="1571" w:type="dxa"/>
            <w:gridSpan w:val="2"/>
            <w:tcBorders>
              <w:top w:val="nil"/>
              <w:left w:val="nil"/>
              <w:right w:val="nil"/>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7.5</w:t>
            </w:r>
          </w:p>
        </w:tc>
        <w:tc>
          <w:tcPr>
            <w:tcW w:w="830" w:type="dxa"/>
            <w:tcBorders>
              <w:top w:val="nil"/>
              <w:left w:val="nil"/>
              <w:right w:val="single" w:sz="4" w:space="0" w:color="auto"/>
            </w:tcBorders>
            <w:shd w:val="clear" w:color="000000" w:fill="FFFFFF"/>
            <w:noWrap/>
            <w:vAlign w:val="bottom"/>
            <w:hideMark/>
          </w:tcPr>
          <w:p w:rsidR="00CE58F0" w:rsidRPr="004B380D" w:rsidRDefault="00CE58F0" w:rsidP="00413B8D">
            <w:pPr>
              <w:jc w:val="right"/>
              <w:rPr>
                <w:rFonts w:cs="Arial"/>
                <w:color w:val="000000"/>
                <w:szCs w:val="24"/>
              </w:rPr>
            </w:pPr>
            <w:r>
              <w:rPr>
                <w:rFonts w:cs="Arial"/>
                <w:color w:val="000000"/>
                <w:szCs w:val="24"/>
              </w:rPr>
              <w:t>0%</w:t>
            </w:r>
          </w:p>
        </w:tc>
      </w:tr>
      <w:tr w:rsidR="00CE58F0" w:rsidRPr="00F6773F" w:rsidTr="00413B8D">
        <w:trPr>
          <w:trHeight w:val="315"/>
        </w:trPr>
        <w:tc>
          <w:tcPr>
            <w:tcW w:w="4967" w:type="dxa"/>
            <w:tcBorders>
              <w:left w:val="single" w:sz="4" w:space="0" w:color="auto"/>
              <w:right w:val="nil"/>
            </w:tcBorders>
            <w:shd w:val="clear" w:color="000000" w:fill="FFFFFF"/>
            <w:noWrap/>
            <w:vAlign w:val="bottom"/>
            <w:hideMark/>
          </w:tcPr>
          <w:p w:rsidR="00CE58F0" w:rsidRPr="006244FB" w:rsidRDefault="00CE58F0" w:rsidP="00413B8D">
            <w:pPr>
              <w:rPr>
                <w:rFonts w:cs="Arial"/>
                <w:bCs/>
                <w:color w:val="000000"/>
                <w:szCs w:val="24"/>
              </w:rPr>
            </w:pPr>
            <w:r>
              <w:rPr>
                <w:rFonts w:cs="Arial"/>
                <w:bCs/>
                <w:color w:val="000000"/>
                <w:szCs w:val="24"/>
              </w:rPr>
              <w:t>Emerging Markets ETF</w:t>
            </w:r>
          </w:p>
        </w:tc>
        <w:tc>
          <w:tcPr>
            <w:tcW w:w="992" w:type="dxa"/>
            <w:tcBorders>
              <w:left w:val="nil"/>
              <w:right w:val="nil"/>
            </w:tcBorders>
            <w:shd w:val="clear" w:color="000000" w:fill="FFFFFF"/>
            <w:noWrap/>
            <w:vAlign w:val="bottom"/>
            <w:hideMark/>
          </w:tcPr>
          <w:p w:rsidR="00CE58F0" w:rsidRPr="00F97C80" w:rsidRDefault="00CE58F0" w:rsidP="00413B8D">
            <w:pPr>
              <w:rPr>
                <w:rFonts w:cs="Arial"/>
                <w:color w:val="000000"/>
                <w:szCs w:val="24"/>
              </w:rPr>
            </w:pPr>
          </w:p>
        </w:tc>
        <w:tc>
          <w:tcPr>
            <w:tcW w:w="1285" w:type="dxa"/>
            <w:tcBorders>
              <w:left w:val="nil"/>
              <w:bottom w:val="single" w:sz="4" w:space="0" w:color="auto"/>
              <w:right w:val="nil"/>
            </w:tcBorders>
            <w:shd w:val="clear" w:color="000000" w:fill="FFFFFF"/>
            <w:noWrap/>
            <w:vAlign w:val="bottom"/>
            <w:hideMark/>
          </w:tcPr>
          <w:p w:rsidR="00CE58F0" w:rsidRPr="00A96B7C" w:rsidRDefault="00CE58F0" w:rsidP="00413B8D">
            <w:pPr>
              <w:jc w:val="right"/>
              <w:rPr>
                <w:rFonts w:cs="Arial"/>
                <w:bCs/>
                <w:color w:val="000000"/>
                <w:szCs w:val="24"/>
              </w:rPr>
            </w:pPr>
            <w:r>
              <w:rPr>
                <w:rFonts w:cs="Arial"/>
                <w:bCs/>
                <w:color w:val="000000"/>
                <w:szCs w:val="24"/>
              </w:rPr>
              <w:t>0.0</w:t>
            </w:r>
          </w:p>
        </w:tc>
        <w:tc>
          <w:tcPr>
            <w:tcW w:w="830" w:type="dxa"/>
            <w:tcBorders>
              <w:left w:val="nil"/>
              <w:bottom w:val="single" w:sz="4" w:space="0" w:color="auto"/>
              <w:right w:val="nil"/>
            </w:tcBorders>
            <w:shd w:val="clear" w:color="000000" w:fill="FFFFFF"/>
            <w:noWrap/>
            <w:vAlign w:val="bottom"/>
            <w:hideMark/>
          </w:tcPr>
          <w:p w:rsidR="00CE58F0" w:rsidRPr="00A96B7C" w:rsidRDefault="00CE58F0" w:rsidP="00413B8D">
            <w:pPr>
              <w:jc w:val="right"/>
              <w:rPr>
                <w:rFonts w:cs="Arial"/>
                <w:bCs/>
                <w:color w:val="000000"/>
                <w:szCs w:val="24"/>
              </w:rPr>
            </w:pPr>
            <w:r>
              <w:rPr>
                <w:rFonts w:cs="Arial"/>
                <w:bCs/>
                <w:color w:val="000000"/>
                <w:szCs w:val="24"/>
              </w:rPr>
              <w:t>0%</w:t>
            </w:r>
          </w:p>
        </w:tc>
        <w:tc>
          <w:tcPr>
            <w:tcW w:w="283" w:type="dxa"/>
            <w:tcBorders>
              <w:left w:val="nil"/>
              <w:bottom w:val="single" w:sz="4" w:space="0" w:color="auto"/>
              <w:right w:val="nil"/>
            </w:tcBorders>
            <w:shd w:val="clear" w:color="000000" w:fill="FFFFFF"/>
            <w:noWrap/>
            <w:vAlign w:val="bottom"/>
            <w:hideMark/>
          </w:tcPr>
          <w:p w:rsidR="00CE58F0" w:rsidRPr="00A96B7C" w:rsidRDefault="00CE58F0" w:rsidP="00413B8D">
            <w:pPr>
              <w:jc w:val="right"/>
              <w:rPr>
                <w:rFonts w:cs="Arial"/>
                <w:color w:val="000000"/>
                <w:szCs w:val="24"/>
              </w:rPr>
            </w:pPr>
          </w:p>
        </w:tc>
        <w:tc>
          <w:tcPr>
            <w:tcW w:w="1571" w:type="dxa"/>
            <w:gridSpan w:val="2"/>
            <w:tcBorders>
              <w:left w:val="nil"/>
              <w:bottom w:val="single" w:sz="4" w:space="0" w:color="auto"/>
              <w:right w:val="nil"/>
            </w:tcBorders>
            <w:shd w:val="clear" w:color="000000" w:fill="FFFFFF"/>
            <w:noWrap/>
            <w:vAlign w:val="bottom"/>
            <w:hideMark/>
          </w:tcPr>
          <w:p w:rsidR="00CE58F0" w:rsidRPr="00A96B7C" w:rsidRDefault="00CE58F0" w:rsidP="00413B8D">
            <w:pPr>
              <w:jc w:val="right"/>
              <w:rPr>
                <w:rFonts w:cs="Arial"/>
                <w:bCs/>
                <w:color w:val="000000"/>
                <w:szCs w:val="24"/>
              </w:rPr>
            </w:pPr>
            <w:r>
              <w:rPr>
                <w:rFonts w:cs="Arial"/>
                <w:bCs/>
                <w:color w:val="000000"/>
                <w:szCs w:val="24"/>
              </w:rPr>
              <w:t>219.1</w:t>
            </w:r>
          </w:p>
        </w:tc>
        <w:tc>
          <w:tcPr>
            <w:tcW w:w="830" w:type="dxa"/>
            <w:tcBorders>
              <w:left w:val="nil"/>
              <w:bottom w:val="single" w:sz="4" w:space="0" w:color="auto"/>
              <w:right w:val="single" w:sz="4" w:space="0" w:color="auto"/>
            </w:tcBorders>
            <w:shd w:val="clear" w:color="000000" w:fill="FFFFFF"/>
            <w:noWrap/>
            <w:vAlign w:val="bottom"/>
            <w:hideMark/>
          </w:tcPr>
          <w:p w:rsidR="00CE58F0" w:rsidRPr="00A96B7C" w:rsidRDefault="00CE58F0" w:rsidP="00413B8D">
            <w:pPr>
              <w:jc w:val="right"/>
              <w:rPr>
                <w:rFonts w:cs="Arial"/>
                <w:bCs/>
                <w:color w:val="000000"/>
                <w:szCs w:val="24"/>
              </w:rPr>
            </w:pPr>
            <w:r>
              <w:rPr>
                <w:rFonts w:cs="Arial"/>
                <w:bCs/>
                <w:color w:val="000000"/>
                <w:szCs w:val="24"/>
              </w:rPr>
              <w:t>4%</w:t>
            </w:r>
          </w:p>
        </w:tc>
      </w:tr>
      <w:tr w:rsidR="00CE58F0" w:rsidRPr="00F6773F" w:rsidTr="00413B8D">
        <w:trPr>
          <w:trHeight w:val="315"/>
        </w:trPr>
        <w:tc>
          <w:tcPr>
            <w:tcW w:w="4967" w:type="dxa"/>
            <w:tcBorders>
              <w:left w:val="single" w:sz="4" w:space="0" w:color="auto"/>
              <w:bottom w:val="nil"/>
              <w:right w:val="nil"/>
            </w:tcBorders>
            <w:shd w:val="clear" w:color="000000" w:fill="FFFFFF"/>
            <w:noWrap/>
            <w:vAlign w:val="bottom"/>
            <w:hideMark/>
          </w:tcPr>
          <w:p w:rsidR="00CE58F0" w:rsidRPr="00AE619F" w:rsidRDefault="00CE58F0" w:rsidP="00413B8D">
            <w:pPr>
              <w:rPr>
                <w:rFonts w:cs="Arial"/>
                <w:b/>
                <w:bCs/>
                <w:color w:val="000000"/>
                <w:szCs w:val="24"/>
              </w:rPr>
            </w:pPr>
            <w:r w:rsidRPr="00AE619F">
              <w:rPr>
                <w:rFonts w:cs="Arial"/>
                <w:b/>
                <w:bCs/>
                <w:color w:val="000000"/>
                <w:szCs w:val="24"/>
              </w:rPr>
              <w:t>Internally Managed Portfolios</w:t>
            </w:r>
          </w:p>
        </w:tc>
        <w:tc>
          <w:tcPr>
            <w:tcW w:w="992" w:type="dxa"/>
            <w:tcBorders>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top w:val="single" w:sz="4" w:space="0" w:color="auto"/>
              <w:left w:val="nil"/>
              <w:bottom w:val="single" w:sz="4" w:space="0" w:color="auto"/>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1,904.6</w:t>
            </w:r>
          </w:p>
        </w:tc>
        <w:tc>
          <w:tcPr>
            <w:tcW w:w="830" w:type="dxa"/>
            <w:tcBorders>
              <w:top w:val="single" w:sz="4" w:space="0" w:color="auto"/>
              <w:left w:val="nil"/>
              <w:bottom w:val="single" w:sz="4" w:space="0" w:color="auto"/>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36%</w:t>
            </w:r>
          </w:p>
        </w:tc>
        <w:tc>
          <w:tcPr>
            <w:tcW w:w="283" w:type="dxa"/>
            <w:tcBorders>
              <w:top w:val="single" w:sz="4" w:space="0" w:color="auto"/>
              <w:left w:val="nil"/>
              <w:bottom w:val="single" w:sz="4" w:space="0" w:color="auto"/>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571" w:type="dxa"/>
            <w:gridSpan w:val="2"/>
            <w:tcBorders>
              <w:top w:val="single" w:sz="4" w:space="0" w:color="auto"/>
              <w:left w:val="nil"/>
              <w:bottom w:val="single" w:sz="4" w:space="0" w:color="auto"/>
              <w:right w:val="nil"/>
            </w:tcBorders>
            <w:shd w:val="clear" w:color="000000" w:fill="FFFFFF"/>
            <w:noWrap/>
            <w:vAlign w:val="bottom"/>
            <w:hideMark/>
          </w:tcPr>
          <w:p w:rsidR="00CE58F0" w:rsidRPr="006E28F2" w:rsidRDefault="00CE58F0" w:rsidP="00656082">
            <w:pPr>
              <w:jc w:val="right"/>
              <w:rPr>
                <w:rFonts w:cs="Arial"/>
                <w:b/>
                <w:bCs/>
                <w:color w:val="000000"/>
                <w:szCs w:val="24"/>
              </w:rPr>
            </w:pPr>
            <w:r>
              <w:rPr>
                <w:rFonts w:cs="Arial"/>
                <w:b/>
                <w:bCs/>
                <w:color w:val="000000"/>
                <w:szCs w:val="24"/>
              </w:rPr>
              <w:t xml:space="preserve">       </w:t>
            </w:r>
            <w:r w:rsidR="00656082">
              <w:rPr>
                <w:rFonts w:cs="Arial"/>
                <w:b/>
                <w:bCs/>
                <w:color w:val="000000"/>
                <w:szCs w:val="24"/>
              </w:rPr>
              <w:t>951.9</w:t>
            </w:r>
            <w:r>
              <w:rPr>
                <w:rFonts w:cs="Arial"/>
                <w:b/>
                <w:bCs/>
                <w:color w:val="000000"/>
                <w:szCs w:val="24"/>
              </w:rPr>
              <w:t xml:space="preserve"> </w:t>
            </w:r>
          </w:p>
        </w:tc>
        <w:tc>
          <w:tcPr>
            <w:tcW w:w="830" w:type="dxa"/>
            <w:tcBorders>
              <w:top w:val="single" w:sz="4" w:space="0" w:color="auto"/>
              <w:left w:val="nil"/>
              <w:bottom w:val="single" w:sz="4" w:space="0" w:color="auto"/>
              <w:right w:val="single" w:sz="4" w:space="0" w:color="auto"/>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19%</w:t>
            </w:r>
          </w:p>
        </w:tc>
      </w:tr>
      <w:tr w:rsidR="00CE58F0" w:rsidRPr="00F6773F" w:rsidTr="00413B8D">
        <w:trPr>
          <w:trHeight w:val="75"/>
        </w:trPr>
        <w:tc>
          <w:tcPr>
            <w:tcW w:w="4967" w:type="dxa"/>
            <w:tcBorders>
              <w:top w:val="nil"/>
              <w:left w:val="single" w:sz="4" w:space="0" w:color="auto"/>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top w:val="nil"/>
              <w:left w:val="nil"/>
              <w:bottom w:val="single" w:sz="18" w:space="0" w:color="auto"/>
              <w:right w:val="nil"/>
            </w:tcBorders>
            <w:shd w:val="clear" w:color="000000" w:fill="FFFFFF"/>
            <w:noWrap/>
            <w:vAlign w:val="bottom"/>
            <w:hideMark/>
          </w:tcPr>
          <w:p w:rsidR="00CE58F0" w:rsidRPr="006E28F2" w:rsidRDefault="00CE58F0" w:rsidP="00413B8D">
            <w:pPr>
              <w:jc w:val="right"/>
              <w:rPr>
                <w:rFonts w:cs="Arial"/>
                <w:b/>
                <w:color w:val="000000"/>
                <w:szCs w:val="24"/>
              </w:rPr>
            </w:pPr>
            <w:r w:rsidRPr="003B4116">
              <w:rPr>
                <w:rFonts w:cs="Arial"/>
                <w:b/>
                <w:color w:val="000000"/>
                <w:szCs w:val="24"/>
              </w:rPr>
              <w:t> </w:t>
            </w:r>
          </w:p>
        </w:tc>
        <w:tc>
          <w:tcPr>
            <w:tcW w:w="830" w:type="dxa"/>
            <w:tcBorders>
              <w:top w:val="nil"/>
              <w:left w:val="nil"/>
              <w:bottom w:val="single" w:sz="18" w:space="0" w:color="auto"/>
              <w:right w:val="nil"/>
            </w:tcBorders>
            <w:shd w:val="clear" w:color="000000" w:fill="FFFFFF"/>
            <w:noWrap/>
            <w:vAlign w:val="bottom"/>
            <w:hideMark/>
          </w:tcPr>
          <w:p w:rsidR="00CE58F0" w:rsidRPr="006E28F2" w:rsidRDefault="00CE58F0" w:rsidP="00413B8D">
            <w:pPr>
              <w:jc w:val="right"/>
              <w:rPr>
                <w:rFonts w:cs="Arial"/>
                <w:b/>
                <w:color w:val="000000"/>
                <w:szCs w:val="24"/>
              </w:rPr>
            </w:pPr>
            <w:r w:rsidRPr="003B4116">
              <w:rPr>
                <w:rFonts w:cs="Arial"/>
                <w:b/>
                <w:color w:val="000000"/>
                <w:szCs w:val="24"/>
              </w:rPr>
              <w:t> </w:t>
            </w:r>
          </w:p>
        </w:tc>
        <w:tc>
          <w:tcPr>
            <w:tcW w:w="283" w:type="dxa"/>
            <w:tcBorders>
              <w:top w:val="nil"/>
              <w:left w:val="nil"/>
              <w:bottom w:val="single" w:sz="18" w:space="0" w:color="auto"/>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571" w:type="dxa"/>
            <w:gridSpan w:val="2"/>
            <w:tcBorders>
              <w:top w:val="nil"/>
              <w:left w:val="nil"/>
              <w:bottom w:val="single" w:sz="18" w:space="0" w:color="auto"/>
              <w:right w:val="nil"/>
            </w:tcBorders>
            <w:shd w:val="clear" w:color="000000" w:fill="FFFFFF"/>
            <w:noWrap/>
            <w:vAlign w:val="bottom"/>
            <w:hideMark/>
          </w:tcPr>
          <w:p w:rsidR="00CE58F0" w:rsidRPr="006E28F2" w:rsidRDefault="00CE58F0" w:rsidP="00413B8D">
            <w:pPr>
              <w:rPr>
                <w:rFonts w:cs="Arial"/>
                <w:b/>
                <w:color w:val="000000"/>
                <w:szCs w:val="24"/>
              </w:rPr>
            </w:pPr>
            <w:r w:rsidRPr="003B4116">
              <w:rPr>
                <w:rFonts w:cs="Arial"/>
                <w:b/>
                <w:color w:val="000000"/>
                <w:szCs w:val="24"/>
              </w:rPr>
              <w:t> </w:t>
            </w:r>
          </w:p>
        </w:tc>
        <w:tc>
          <w:tcPr>
            <w:tcW w:w="830" w:type="dxa"/>
            <w:tcBorders>
              <w:top w:val="nil"/>
              <w:left w:val="nil"/>
              <w:bottom w:val="single" w:sz="18" w:space="0" w:color="auto"/>
              <w:right w:val="single" w:sz="4" w:space="0" w:color="auto"/>
            </w:tcBorders>
            <w:shd w:val="clear" w:color="000000" w:fill="FFFFFF"/>
            <w:noWrap/>
            <w:vAlign w:val="bottom"/>
            <w:hideMark/>
          </w:tcPr>
          <w:p w:rsidR="00CE58F0" w:rsidRPr="006E28F2" w:rsidRDefault="00CE58F0" w:rsidP="00413B8D">
            <w:pPr>
              <w:rPr>
                <w:rFonts w:cs="Arial"/>
                <w:b/>
                <w:color w:val="000000"/>
                <w:szCs w:val="24"/>
              </w:rPr>
            </w:pPr>
            <w:r w:rsidRPr="003B4116">
              <w:rPr>
                <w:rFonts w:cs="Arial"/>
                <w:b/>
                <w:color w:val="000000"/>
                <w:szCs w:val="24"/>
              </w:rPr>
              <w:t> </w:t>
            </w:r>
          </w:p>
        </w:tc>
      </w:tr>
      <w:tr w:rsidR="00CE58F0" w:rsidRPr="00F6773F" w:rsidTr="00413B8D">
        <w:trPr>
          <w:trHeight w:val="315"/>
        </w:trPr>
        <w:tc>
          <w:tcPr>
            <w:tcW w:w="4967" w:type="dxa"/>
            <w:tcBorders>
              <w:top w:val="nil"/>
              <w:left w:val="single" w:sz="4" w:space="0" w:color="auto"/>
              <w:bottom w:val="nil"/>
              <w:right w:val="nil"/>
            </w:tcBorders>
            <w:shd w:val="clear" w:color="000000" w:fill="FFFFFF"/>
            <w:noWrap/>
            <w:vAlign w:val="bottom"/>
            <w:hideMark/>
          </w:tcPr>
          <w:p w:rsidR="00CE58F0" w:rsidRPr="00AE619F" w:rsidRDefault="00CE58F0" w:rsidP="00413B8D">
            <w:pPr>
              <w:rPr>
                <w:rFonts w:cs="Arial"/>
                <w:b/>
                <w:bCs/>
                <w:color w:val="000000"/>
                <w:szCs w:val="24"/>
              </w:rPr>
            </w:pPr>
            <w:r w:rsidRPr="00AE619F">
              <w:rPr>
                <w:rFonts w:cs="Arial"/>
                <w:b/>
                <w:bCs/>
                <w:color w:val="000000"/>
                <w:szCs w:val="24"/>
              </w:rPr>
              <w:t>Total Portfolio Values</w:t>
            </w:r>
          </w:p>
        </w:tc>
        <w:tc>
          <w:tcPr>
            <w:tcW w:w="992" w:type="dxa"/>
            <w:tcBorders>
              <w:top w:val="nil"/>
              <w:left w:val="nil"/>
              <w:bottom w:val="nil"/>
              <w:right w:val="nil"/>
            </w:tcBorders>
            <w:shd w:val="clear" w:color="000000" w:fill="FFFFFF"/>
            <w:noWrap/>
            <w:vAlign w:val="bottom"/>
            <w:hideMark/>
          </w:tcPr>
          <w:p w:rsidR="00CE58F0" w:rsidRPr="004B380D" w:rsidRDefault="00CE58F0" w:rsidP="00413B8D">
            <w:pPr>
              <w:rPr>
                <w:rFonts w:cs="Arial"/>
                <w:color w:val="000000"/>
                <w:szCs w:val="24"/>
              </w:rPr>
            </w:pPr>
            <w:r w:rsidRPr="00F97C80">
              <w:rPr>
                <w:rFonts w:cs="Arial"/>
                <w:color w:val="000000"/>
                <w:szCs w:val="24"/>
              </w:rPr>
              <w:t> </w:t>
            </w:r>
          </w:p>
        </w:tc>
        <w:tc>
          <w:tcPr>
            <w:tcW w:w="1285" w:type="dxa"/>
            <w:tcBorders>
              <w:top w:val="single" w:sz="18" w:space="0" w:color="auto"/>
              <w:left w:val="nil"/>
              <w:bottom w:val="single" w:sz="18" w:space="0" w:color="auto"/>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5,171.5</w:t>
            </w:r>
          </w:p>
        </w:tc>
        <w:tc>
          <w:tcPr>
            <w:tcW w:w="830" w:type="dxa"/>
            <w:tcBorders>
              <w:top w:val="single" w:sz="18" w:space="0" w:color="auto"/>
              <w:left w:val="nil"/>
              <w:bottom w:val="single" w:sz="18" w:space="0" w:color="auto"/>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100%</w:t>
            </w:r>
          </w:p>
        </w:tc>
        <w:tc>
          <w:tcPr>
            <w:tcW w:w="283" w:type="dxa"/>
            <w:tcBorders>
              <w:top w:val="single" w:sz="18" w:space="0" w:color="auto"/>
              <w:left w:val="nil"/>
              <w:bottom w:val="single" w:sz="18" w:space="0" w:color="auto"/>
              <w:right w:val="nil"/>
            </w:tcBorders>
            <w:shd w:val="clear" w:color="000000" w:fill="FFFFFF"/>
            <w:noWrap/>
            <w:vAlign w:val="bottom"/>
            <w:hideMark/>
          </w:tcPr>
          <w:p w:rsidR="00CE58F0" w:rsidRPr="00F6773F" w:rsidRDefault="00CE58F0" w:rsidP="00413B8D">
            <w:pPr>
              <w:rPr>
                <w:rFonts w:cs="Arial"/>
                <w:color w:val="000000"/>
                <w:szCs w:val="24"/>
              </w:rPr>
            </w:pPr>
            <w:r w:rsidRPr="00F6773F">
              <w:rPr>
                <w:rFonts w:cs="Arial"/>
                <w:color w:val="000000"/>
                <w:szCs w:val="24"/>
              </w:rPr>
              <w:t> </w:t>
            </w:r>
          </w:p>
        </w:tc>
        <w:tc>
          <w:tcPr>
            <w:tcW w:w="1571" w:type="dxa"/>
            <w:gridSpan w:val="2"/>
            <w:tcBorders>
              <w:top w:val="single" w:sz="18" w:space="0" w:color="auto"/>
              <w:left w:val="nil"/>
              <w:bottom w:val="single" w:sz="18" w:space="0" w:color="auto"/>
              <w:right w:val="nil"/>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 xml:space="preserve">   4,989.0 </w:t>
            </w:r>
          </w:p>
        </w:tc>
        <w:tc>
          <w:tcPr>
            <w:tcW w:w="830" w:type="dxa"/>
            <w:tcBorders>
              <w:top w:val="single" w:sz="18" w:space="0" w:color="auto"/>
              <w:left w:val="nil"/>
              <w:bottom w:val="single" w:sz="18" w:space="0" w:color="auto"/>
              <w:right w:val="single" w:sz="4" w:space="0" w:color="auto"/>
            </w:tcBorders>
            <w:shd w:val="clear" w:color="000000" w:fill="FFFFFF"/>
            <w:noWrap/>
            <w:vAlign w:val="bottom"/>
            <w:hideMark/>
          </w:tcPr>
          <w:p w:rsidR="00CE58F0" w:rsidRPr="006E28F2" w:rsidRDefault="00CE58F0" w:rsidP="00413B8D">
            <w:pPr>
              <w:jc w:val="right"/>
              <w:rPr>
                <w:rFonts w:cs="Arial"/>
                <w:b/>
                <w:bCs/>
                <w:color w:val="000000"/>
                <w:szCs w:val="24"/>
              </w:rPr>
            </w:pPr>
            <w:r>
              <w:rPr>
                <w:rFonts w:cs="Arial"/>
                <w:b/>
                <w:bCs/>
                <w:color w:val="000000"/>
                <w:szCs w:val="24"/>
              </w:rPr>
              <w:t>100%</w:t>
            </w:r>
          </w:p>
        </w:tc>
      </w:tr>
      <w:tr w:rsidR="00CE58F0" w:rsidRPr="00F6773F" w:rsidTr="00413B8D">
        <w:trPr>
          <w:trHeight w:val="255"/>
        </w:trPr>
        <w:tc>
          <w:tcPr>
            <w:tcW w:w="4967" w:type="dxa"/>
            <w:tcBorders>
              <w:top w:val="nil"/>
              <w:left w:val="single" w:sz="4" w:space="0" w:color="auto"/>
              <w:bottom w:val="single" w:sz="4" w:space="0" w:color="auto"/>
              <w:right w:val="nil"/>
            </w:tcBorders>
            <w:shd w:val="clear" w:color="000000" w:fill="FFFFFF"/>
            <w:noWrap/>
            <w:vAlign w:val="bottom"/>
            <w:hideMark/>
          </w:tcPr>
          <w:p w:rsidR="00CE58F0" w:rsidRPr="004B380D" w:rsidRDefault="00CE58F0" w:rsidP="00413B8D">
            <w:pPr>
              <w:rPr>
                <w:rFonts w:cs="Arial"/>
                <w:color w:val="000000"/>
                <w:sz w:val="20"/>
              </w:rPr>
            </w:pPr>
            <w:r w:rsidRPr="00F97C80">
              <w:rPr>
                <w:rFonts w:cs="Arial"/>
                <w:color w:val="000000"/>
                <w:sz w:val="20"/>
              </w:rPr>
              <w:t> </w:t>
            </w:r>
          </w:p>
        </w:tc>
        <w:tc>
          <w:tcPr>
            <w:tcW w:w="992" w:type="dxa"/>
            <w:tcBorders>
              <w:top w:val="nil"/>
              <w:left w:val="nil"/>
              <w:bottom w:val="single" w:sz="4" w:space="0" w:color="auto"/>
              <w:right w:val="nil"/>
            </w:tcBorders>
            <w:shd w:val="clear" w:color="000000" w:fill="FFFFFF"/>
            <w:noWrap/>
            <w:vAlign w:val="bottom"/>
            <w:hideMark/>
          </w:tcPr>
          <w:p w:rsidR="00CE58F0" w:rsidRPr="004B380D" w:rsidRDefault="00CE58F0" w:rsidP="00413B8D">
            <w:pPr>
              <w:rPr>
                <w:rFonts w:cs="Arial"/>
                <w:color w:val="000000"/>
                <w:sz w:val="20"/>
              </w:rPr>
            </w:pPr>
            <w:r w:rsidRPr="00F97C80">
              <w:rPr>
                <w:rFonts w:cs="Arial"/>
                <w:color w:val="000000"/>
                <w:sz w:val="20"/>
              </w:rPr>
              <w:t> </w:t>
            </w:r>
          </w:p>
        </w:tc>
        <w:tc>
          <w:tcPr>
            <w:tcW w:w="1285" w:type="dxa"/>
            <w:tcBorders>
              <w:top w:val="single" w:sz="18" w:space="0" w:color="auto"/>
              <w:left w:val="nil"/>
              <w:bottom w:val="single" w:sz="4" w:space="0" w:color="auto"/>
              <w:right w:val="nil"/>
            </w:tcBorders>
            <w:shd w:val="clear" w:color="000000" w:fill="FFFFFF"/>
            <w:noWrap/>
            <w:vAlign w:val="bottom"/>
            <w:hideMark/>
          </w:tcPr>
          <w:p w:rsidR="00CE58F0" w:rsidRPr="004B380D" w:rsidRDefault="00CE58F0" w:rsidP="00413B8D">
            <w:pPr>
              <w:rPr>
                <w:rFonts w:cs="Arial"/>
                <w:color w:val="000000"/>
                <w:sz w:val="20"/>
              </w:rPr>
            </w:pPr>
            <w:r w:rsidRPr="00F97C80">
              <w:rPr>
                <w:rFonts w:cs="Arial"/>
                <w:color w:val="000000"/>
                <w:sz w:val="20"/>
              </w:rPr>
              <w:t> </w:t>
            </w:r>
          </w:p>
        </w:tc>
        <w:tc>
          <w:tcPr>
            <w:tcW w:w="830" w:type="dxa"/>
            <w:tcBorders>
              <w:top w:val="single" w:sz="18" w:space="0" w:color="auto"/>
              <w:left w:val="nil"/>
              <w:bottom w:val="single" w:sz="4" w:space="0" w:color="auto"/>
              <w:right w:val="nil"/>
            </w:tcBorders>
            <w:shd w:val="clear" w:color="000000" w:fill="FFFFFF"/>
            <w:noWrap/>
            <w:vAlign w:val="bottom"/>
            <w:hideMark/>
          </w:tcPr>
          <w:p w:rsidR="00CE58F0" w:rsidRPr="004B380D" w:rsidRDefault="00CE58F0" w:rsidP="00413B8D">
            <w:pPr>
              <w:rPr>
                <w:rFonts w:cs="Arial"/>
                <w:color w:val="000000"/>
                <w:sz w:val="20"/>
              </w:rPr>
            </w:pPr>
            <w:r w:rsidRPr="00F97C80">
              <w:rPr>
                <w:rFonts w:cs="Arial"/>
                <w:color w:val="000000"/>
                <w:sz w:val="20"/>
              </w:rPr>
              <w:t> </w:t>
            </w:r>
          </w:p>
        </w:tc>
        <w:tc>
          <w:tcPr>
            <w:tcW w:w="283" w:type="dxa"/>
            <w:tcBorders>
              <w:top w:val="single" w:sz="18" w:space="0" w:color="auto"/>
              <w:left w:val="nil"/>
              <w:bottom w:val="single" w:sz="4" w:space="0" w:color="auto"/>
              <w:right w:val="nil"/>
            </w:tcBorders>
            <w:shd w:val="clear" w:color="000000" w:fill="FFFFFF"/>
            <w:noWrap/>
            <w:vAlign w:val="bottom"/>
            <w:hideMark/>
          </w:tcPr>
          <w:p w:rsidR="00CE58F0" w:rsidRPr="00F6773F" w:rsidRDefault="00CE58F0" w:rsidP="00413B8D">
            <w:pPr>
              <w:rPr>
                <w:rFonts w:cs="Arial"/>
                <w:color w:val="000000"/>
                <w:sz w:val="20"/>
              </w:rPr>
            </w:pPr>
            <w:r w:rsidRPr="00F6773F">
              <w:rPr>
                <w:rFonts w:cs="Arial"/>
                <w:color w:val="000000"/>
                <w:sz w:val="20"/>
              </w:rPr>
              <w:t> </w:t>
            </w:r>
          </w:p>
        </w:tc>
        <w:tc>
          <w:tcPr>
            <w:tcW w:w="1571" w:type="dxa"/>
            <w:gridSpan w:val="2"/>
            <w:tcBorders>
              <w:top w:val="single" w:sz="18" w:space="0" w:color="auto"/>
              <w:left w:val="nil"/>
              <w:bottom w:val="single" w:sz="4" w:space="0" w:color="auto"/>
              <w:right w:val="nil"/>
            </w:tcBorders>
            <w:shd w:val="clear" w:color="000000" w:fill="FFFFFF"/>
            <w:noWrap/>
            <w:vAlign w:val="bottom"/>
            <w:hideMark/>
          </w:tcPr>
          <w:p w:rsidR="00CE58F0" w:rsidRPr="00F6773F" w:rsidRDefault="00CE58F0" w:rsidP="00413B8D">
            <w:pPr>
              <w:rPr>
                <w:rFonts w:cs="Arial"/>
                <w:color w:val="000000"/>
                <w:sz w:val="20"/>
              </w:rPr>
            </w:pPr>
            <w:r w:rsidRPr="00F6773F">
              <w:rPr>
                <w:rFonts w:cs="Arial"/>
                <w:color w:val="000000"/>
                <w:sz w:val="20"/>
              </w:rPr>
              <w:t> </w:t>
            </w:r>
          </w:p>
        </w:tc>
        <w:tc>
          <w:tcPr>
            <w:tcW w:w="830" w:type="dxa"/>
            <w:tcBorders>
              <w:top w:val="single" w:sz="18" w:space="0" w:color="auto"/>
              <w:left w:val="nil"/>
              <w:bottom w:val="single" w:sz="4" w:space="0" w:color="auto"/>
              <w:right w:val="single" w:sz="4" w:space="0" w:color="auto"/>
            </w:tcBorders>
            <w:shd w:val="clear" w:color="000000" w:fill="FFFFFF"/>
            <w:noWrap/>
            <w:vAlign w:val="bottom"/>
            <w:hideMark/>
          </w:tcPr>
          <w:p w:rsidR="00CE58F0" w:rsidRPr="00F6773F" w:rsidRDefault="00CE58F0" w:rsidP="00413B8D">
            <w:pPr>
              <w:rPr>
                <w:rFonts w:cs="Arial"/>
                <w:color w:val="000000"/>
                <w:sz w:val="20"/>
              </w:rPr>
            </w:pPr>
            <w:r w:rsidRPr="00F6773F">
              <w:rPr>
                <w:rFonts w:cs="Arial"/>
                <w:color w:val="000000"/>
                <w:sz w:val="20"/>
              </w:rPr>
              <w:t> </w:t>
            </w:r>
          </w:p>
        </w:tc>
      </w:tr>
    </w:tbl>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783C33" w:rsidRDefault="00783C33" w:rsidP="00413B8D">
            <w:pPr>
              <w:rPr>
                <w:b/>
                <w:szCs w:val="24"/>
              </w:rPr>
            </w:pPr>
          </w:p>
        </w:tc>
        <w:tc>
          <w:tcPr>
            <w:tcW w:w="1559" w:type="dxa"/>
          </w:tcPr>
          <w:p w:rsidR="00CE58F0" w:rsidRDefault="00CE58F0" w:rsidP="00413B8D">
            <w:pPr>
              <w:jc w:val="right"/>
              <w:rPr>
                <w:b/>
                <w:szCs w:val="24"/>
              </w:rPr>
            </w:pPr>
          </w:p>
          <w:p w:rsidR="00783C33" w:rsidRDefault="00783C33" w:rsidP="00413B8D">
            <w:pPr>
              <w:jc w:val="right"/>
              <w:rPr>
                <w:b/>
                <w:szCs w:val="24"/>
              </w:rPr>
            </w:pPr>
          </w:p>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783C33" w:rsidRDefault="00783C33" w:rsidP="00413B8D">
            <w:pPr>
              <w:jc w:val="right"/>
              <w:rPr>
                <w:b/>
                <w:szCs w:val="24"/>
              </w:rPr>
            </w:pPr>
          </w:p>
          <w:p w:rsidR="003F1D86" w:rsidRDefault="003F1D86" w:rsidP="00413B8D">
            <w:pPr>
              <w:jc w:val="right"/>
              <w:rPr>
                <w:b/>
                <w:szCs w:val="24"/>
              </w:rPr>
            </w:pPr>
          </w:p>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tc>
      </w:tr>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p>
        </w:tc>
        <w:tc>
          <w:tcPr>
            <w:tcW w:w="430" w:type="dxa"/>
            <w:tcBorders>
              <w:right w:val="single" w:sz="4" w:space="0" w:color="FFFFFF" w:themeColor="background1"/>
            </w:tcBorders>
          </w:tcPr>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p>
        </w:tc>
      </w:tr>
      <w:tr w:rsidR="00CE58F0" w:rsidRPr="007A07AD" w:rsidTr="00413B8D">
        <w:tc>
          <w:tcPr>
            <w:tcW w:w="5058" w:type="dxa"/>
          </w:tcPr>
          <w:p w:rsidR="00CE58F0" w:rsidRPr="00BA6F7E" w:rsidRDefault="00CE58F0" w:rsidP="00413B8D">
            <w:pPr>
              <w:rPr>
                <w:b/>
                <w:szCs w:val="24"/>
              </w:rPr>
            </w:pPr>
            <w:r w:rsidRPr="00BA6F7E">
              <w:rPr>
                <w:b/>
                <w:szCs w:val="24"/>
              </w:rPr>
              <w:t>Fixed Interest Securities</w:t>
            </w:r>
          </w:p>
        </w:tc>
        <w:tc>
          <w:tcPr>
            <w:tcW w:w="1559" w:type="dxa"/>
          </w:tcPr>
          <w:p w:rsidR="00CE58F0" w:rsidRPr="007A07AD"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p>
        </w:tc>
      </w:tr>
      <w:tr w:rsidR="00CE58F0" w:rsidRPr="007A07AD" w:rsidTr="00413B8D">
        <w:tc>
          <w:tcPr>
            <w:tcW w:w="5058" w:type="dxa"/>
          </w:tcPr>
          <w:p w:rsidR="00CE58F0" w:rsidRDefault="00CE58F0" w:rsidP="00413B8D">
            <w:pPr>
              <w:rPr>
                <w:szCs w:val="24"/>
              </w:rPr>
            </w:pPr>
            <w:r>
              <w:rPr>
                <w:szCs w:val="24"/>
              </w:rPr>
              <w:t>UK public sector quoted</w:t>
            </w:r>
          </w:p>
        </w:tc>
        <w:tc>
          <w:tcPr>
            <w:tcW w:w="1559" w:type="dxa"/>
          </w:tcPr>
          <w:p w:rsidR="00CE58F0" w:rsidRPr="007A07AD" w:rsidRDefault="00CE58F0" w:rsidP="00413B8D">
            <w:pPr>
              <w:jc w:val="right"/>
              <w:rPr>
                <w:szCs w:val="24"/>
              </w:rPr>
            </w:pPr>
            <w:r>
              <w:rPr>
                <w:szCs w:val="24"/>
              </w:rPr>
              <w:t>0.0</w:t>
            </w:r>
          </w:p>
        </w:tc>
        <w:tc>
          <w:tcPr>
            <w:tcW w:w="430" w:type="dxa"/>
            <w:tcBorders>
              <w:right w:val="single" w:sz="4" w:space="0" w:color="FFFFFF" w:themeColor="background1"/>
            </w:tcBorders>
          </w:tcPr>
          <w:p w:rsidR="00CE58F0" w:rsidRPr="007A07AD" w:rsidRDefault="00CE58F0" w:rsidP="00413B8D">
            <w:pPr>
              <w:jc w:val="center"/>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294.9</w:t>
            </w:r>
          </w:p>
        </w:tc>
      </w:tr>
      <w:tr w:rsidR="00CE58F0" w:rsidRPr="007A07AD" w:rsidTr="00413B8D">
        <w:tc>
          <w:tcPr>
            <w:tcW w:w="5058" w:type="dxa"/>
          </w:tcPr>
          <w:p w:rsidR="00CE58F0" w:rsidRDefault="00CE58F0" w:rsidP="00413B8D">
            <w:pPr>
              <w:rPr>
                <w:szCs w:val="24"/>
              </w:rPr>
            </w:pPr>
            <w:r>
              <w:rPr>
                <w:szCs w:val="24"/>
              </w:rPr>
              <w:t>UK corporate bonds quoted</w:t>
            </w:r>
          </w:p>
        </w:tc>
        <w:tc>
          <w:tcPr>
            <w:tcW w:w="1559" w:type="dxa"/>
          </w:tcPr>
          <w:p w:rsidR="00CE58F0" w:rsidRDefault="00CE58F0" w:rsidP="00413B8D">
            <w:pPr>
              <w:jc w:val="right"/>
              <w:rPr>
                <w:szCs w:val="24"/>
              </w:rPr>
            </w:pPr>
            <w:r>
              <w:rPr>
                <w:szCs w:val="24"/>
              </w:rPr>
              <w:t>76.0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Default="00CE58F0" w:rsidP="00413B8D">
            <w:pPr>
              <w:jc w:val="right"/>
              <w:rPr>
                <w:szCs w:val="24"/>
              </w:rPr>
            </w:pPr>
            <w:r>
              <w:rPr>
                <w:szCs w:val="24"/>
              </w:rPr>
              <w:t>225.0</w:t>
            </w:r>
          </w:p>
        </w:tc>
      </w:tr>
      <w:tr w:rsidR="00CE58F0" w:rsidRPr="007A07AD" w:rsidTr="00413B8D">
        <w:tc>
          <w:tcPr>
            <w:tcW w:w="5058" w:type="dxa"/>
          </w:tcPr>
          <w:p w:rsidR="00CE58F0" w:rsidRDefault="00CE58F0" w:rsidP="00413B8D">
            <w:pPr>
              <w:rPr>
                <w:szCs w:val="24"/>
              </w:rPr>
            </w:pPr>
            <w:r>
              <w:rPr>
                <w:szCs w:val="24"/>
              </w:rPr>
              <w:t>Overseas corporate bonds quoted</w:t>
            </w:r>
          </w:p>
        </w:tc>
        <w:tc>
          <w:tcPr>
            <w:tcW w:w="1559" w:type="dxa"/>
            <w:tcBorders>
              <w:bottom w:val="single" w:sz="18" w:space="0" w:color="auto"/>
            </w:tcBorders>
          </w:tcPr>
          <w:p w:rsidR="00CE58F0" w:rsidRDefault="00CE58F0" w:rsidP="00413B8D">
            <w:pPr>
              <w:jc w:val="right"/>
              <w:rPr>
                <w:szCs w:val="24"/>
              </w:rPr>
            </w:pPr>
            <w:r>
              <w:rPr>
                <w:szCs w:val="24"/>
              </w:rPr>
              <w:t>157.0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Default="00CE58F0" w:rsidP="00413B8D">
            <w:pPr>
              <w:jc w:val="right"/>
              <w:rPr>
                <w:szCs w:val="24"/>
              </w:rPr>
            </w:pPr>
            <w:r>
              <w:rPr>
                <w:szCs w:val="24"/>
              </w:rPr>
              <w:t>323.7</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Default="00CE58F0" w:rsidP="00413B8D">
            <w:pPr>
              <w:jc w:val="right"/>
              <w:rPr>
                <w:szCs w:val="24"/>
              </w:rPr>
            </w:pPr>
            <w:r>
              <w:rPr>
                <w:szCs w:val="24"/>
              </w:rPr>
              <w:t>233.0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Default="00CE58F0" w:rsidP="00413B8D">
            <w:pPr>
              <w:jc w:val="right"/>
              <w:rPr>
                <w:szCs w:val="24"/>
              </w:rPr>
            </w:pPr>
            <w:r>
              <w:rPr>
                <w:szCs w:val="24"/>
              </w:rPr>
              <w:t>843.6</w:t>
            </w:r>
          </w:p>
        </w:tc>
      </w:tr>
    </w:tbl>
    <w:p w:rsidR="00CE58F0" w:rsidRDefault="00CE58F0" w:rsidP="00CE58F0">
      <w:pPr>
        <w:spacing w:after="1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E70ECF" w:rsidRDefault="00CE58F0" w:rsidP="00413B8D">
            <w:pPr>
              <w:rPr>
                <w:b/>
                <w:szCs w:val="24"/>
              </w:rPr>
            </w:pPr>
            <w:r w:rsidRPr="00E70ECF">
              <w:rPr>
                <w:b/>
                <w:szCs w:val="24"/>
              </w:rPr>
              <w:t>Equities</w:t>
            </w:r>
          </w:p>
        </w:tc>
        <w:tc>
          <w:tcPr>
            <w:tcW w:w="1559" w:type="dxa"/>
          </w:tcPr>
          <w:p w:rsidR="00CE58F0" w:rsidRPr="007A07AD"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p>
        </w:tc>
      </w:tr>
      <w:tr w:rsidR="00CE58F0" w:rsidRPr="007A07AD" w:rsidTr="00413B8D">
        <w:tc>
          <w:tcPr>
            <w:tcW w:w="5058" w:type="dxa"/>
          </w:tcPr>
          <w:p w:rsidR="00CE58F0" w:rsidRDefault="00CE58F0" w:rsidP="00413B8D">
            <w:pPr>
              <w:rPr>
                <w:szCs w:val="24"/>
              </w:rPr>
            </w:pPr>
            <w:r>
              <w:rPr>
                <w:szCs w:val="24"/>
              </w:rPr>
              <w:t>UK quoted</w:t>
            </w:r>
          </w:p>
        </w:tc>
        <w:tc>
          <w:tcPr>
            <w:tcW w:w="1559" w:type="dxa"/>
          </w:tcPr>
          <w:p w:rsidR="00CE58F0" w:rsidRPr="007A07AD" w:rsidRDefault="00CE58F0" w:rsidP="00413B8D">
            <w:pPr>
              <w:jc w:val="right"/>
              <w:rPr>
                <w:szCs w:val="24"/>
              </w:rPr>
            </w:pPr>
            <w:r>
              <w:rPr>
                <w:szCs w:val="24"/>
              </w:rPr>
              <w:t>231.3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218.3</w:t>
            </w:r>
          </w:p>
        </w:tc>
      </w:tr>
      <w:tr w:rsidR="00CE58F0" w:rsidRPr="007A07AD" w:rsidTr="00413B8D">
        <w:tc>
          <w:tcPr>
            <w:tcW w:w="5058" w:type="dxa"/>
          </w:tcPr>
          <w:p w:rsidR="00CE58F0" w:rsidRDefault="00CE58F0" w:rsidP="00413B8D">
            <w:pPr>
              <w:rPr>
                <w:szCs w:val="24"/>
              </w:rPr>
            </w:pPr>
            <w:r>
              <w:rPr>
                <w:szCs w:val="24"/>
              </w:rPr>
              <w:t>Overseas quoted</w:t>
            </w:r>
          </w:p>
        </w:tc>
        <w:tc>
          <w:tcPr>
            <w:tcW w:w="1559" w:type="dxa"/>
            <w:tcBorders>
              <w:bottom w:val="single" w:sz="18" w:space="0" w:color="auto"/>
            </w:tcBorders>
          </w:tcPr>
          <w:p w:rsidR="00CE58F0" w:rsidRPr="007A07AD" w:rsidRDefault="00CE58F0" w:rsidP="00413B8D">
            <w:pPr>
              <w:jc w:val="right"/>
              <w:rPr>
                <w:szCs w:val="24"/>
              </w:rPr>
            </w:pPr>
            <w:r>
              <w:rPr>
                <w:szCs w:val="24"/>
              </w:rPr>
              <w:t>1,689.8</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1,531.0</w:t>
            </w:r>
          </w:p>
        </w:tc>
      </w:tr>
      <w:tr w:rsidR="00CE58F0" w:rsidRPr="00AA2409"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AA2409" w:rsidRDefault="00CE58F0" w:rsidP="00413B8D">
            <w:pPr>
              <w:jc w:val="right"/>
              <w:rPr>
                <w:szCs w:val="24"/>
              </w:rPr>
            </w:pPr>
            <w:r>
              <w:rPr>
                <w:szCs w:val="24"/>
              </w:rPr>
              <w:t>1,921.1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AA2409" w:rsidRDefault="00CE58F0" w:rsidP="00413B8D">
            <w:pPr>
              <w:jc w:val="right"/>
              <w:rPr>
                <w:szCs w:val="24"/>
              </w:rPr>
            </w:pPr>
            <w:r w:rsidRPr="00AA2409">
              <w:rPr>
                <w:szCs w:val="24"/>
              </w:rPr>
              <w:t>1,749.3</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tcBorders>
          </w:tcPr>
          <w:p w:rsidR="00CE58F0" w:rsidRDefault="00CE58F0" w:rsidP="00413B8D">
            <w:pPr>
              <w:jc w:val="right"/>
              <w:rPr>
                <w:szCs w:val="24"/>
              </w:rPr>
            </w:pPr>
          </w:p>
        </w:tc>
        <w:tc>
          <w:tcPr>
            <w:tcW w:w="430" w:type="dxa"/>
          </w:tcPr>
          <w:p w:rsidR="00CE58F0" w:rsidRPr="007A07AD" w:rsidRDefault="00CE58F0" w:rsidP="00413B8D">
            <w:pPr>
              <w:jc w:val="right"/>
              <w:rPr>
                <w:szCs w:val="24"/>
              </w:rPr>
            </w:pPr>
          </w:p>
        </w:tc>
        <w:tc>
          <w:tcPr>
            <w:tcW w:w="1696" w:type="dxa"/>
            <w:tcBorders>
              <w:top w:val="single" w:sz="18" w:space="0" w:color="auto"/>
            </w:tcBorders>
          </w:tcPr>
          <w:p w:rsidR="00CE58F0" w:rsidRDefault="00CE58F0" w:rsidP="00413B8D">
            <w:pPr>
              <w:jc w:val="right"/>
              <w:rPr>
                <w:szCs w:val="24"/>
              </w:rPr>
            </w:pPr>
          </w:p>
        </w:tc>
      </w:tr>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E70ECF" w:rsidRDefault="00CE58F0" w:rsidP="00413B8D">
            <w:pPr>
              <w:rPr>
                <w:b/>
                <w:szCs w:val="24"/>
              </w:rPr>
            </w:pPr>
            <w:r w:rsidRPr="00E70ECF">
              <w:rPr>
                <w:b/>
                <w:szCs w:val="24"/>
              </w:rPr>
              <w:t>Index Linked Securities</w:t>
            </w:r>
          </w:p>
        </w:tc>
        <w:tc>
          <w:tcPr>
            <w:tcW w:w="1559" w:type="dxa"/>
          </w:tcPr>
          <w:p w:rsidR="00CE58F0" w:rsidRPr="007A07AD"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p>
        </w:tc>
      </w:tr>
      <w:tr w:rsidR="00CE58F0" w:rsidRPr="007A07AD" w:rsidTr="00413B8D">
        <w:tc>
          <w:tcPr>
            <w:tcW w:w="5058" w:type="dxa"/>
          </w:tcPr>
          <w:p w:rsidR="00CE58F0" w:rsidRDefault="00CE58F0" w:rsidP="00413B8D">
            <w:pPr>
              <w:rPr>
                <w:szCs w:val="24"/>
              </w:rPr>
            </w:pPr>
            <w:r>
              <w:rPr>
                <w:szCs w:val="24"/>
              </w:rPr>
              <w:t>UK quoted</w:t>
            </w:r>
          </w:p>
        </w:tc>
        <w:tc>
          <w:tcPr>
            <w:tcW w:w="1559" w:type="dxa"/>
            <w:tcBorders>
              <w:bottom w:val="single" w:sz="18" w:space="0" w:color="auto"/>
            </w:tcBorders>
          </w:tcPr>
          <w:p w:rsidR="00CE58F0" w:rsidRPr="007A07AD" w:rsidRDefault="00CE58F0" w:rsidP="00413B8D">
            <w:pPr>
              <w:jc w:val="right"/>
              <w:rPr>
                <w:szCs w:val="24"/>
              </w:rPr>
            </w:pPr>
            <w:r>
              <w:rPr>
                <w:szCs w:val="24"/>
              </w:rPr>
              <w:t>0.0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164.9</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0.0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164.9</w:t>
            </w:r>
          </w:p>
        </w:tc>
      </w:tr>
    </w:tbl>
    <w:p w:rsidR="00CE58F0" w:rsidRDefault="00CE58F0" w:rsidP="00CE58F0">
      <w:pPr>
        <w:spacing w:after="120"/>
        <w:jc w:val="both"/>
        <w:rPr>
          <w:szCs w:val="24"/>
        </w:rPr>
      </w:pPr>
    </w:p>
    <w:tbl>
      <w:tblPr>
        <w:tblStyle w:val="TableGrid"/>
        <w:tblW w:w="0" w:type="auto"/>
        <w:tblInd w:w="720" w:type="dxa"/>
        <w:tblLook w:val="04A0" w:firstRow="1" w:lastRow="0" w:firstColumn="1" w:lastColumn="0" w:noHBand="0" w:noVBand="1"/>
      </w:tblPr>
      <w:tblGrid>
        <w:gridCol w:w="5227"/>
        <w:gridCol w:w="1424"/>
        <w:gridCol w:w="432"/>
        <w:gridCol w:w="1705"/>
      </w:tblGrid>
      <w:tr w:rsidR="00CE58F0" w:rsidRPr="007A07AD" w:rsidTr="00413B8D">
        <w:trPr>
          <w:trHeight w:val="277"/>
        </w:trPr>
        <w:tc>
          <w:tcPr>
            <w:tcW w:w="5227" w:type="dxa"/>
            <w:tcBorders>
              <w:top w:val="nil"/>
              <w:left w:val="nil"/>
              <w:bottom w:val="nil"/>
              <w:right w:val="nil"/>
            </w:tcBorders>
          </w:tcPr>
          <w:p w:rsidR="00CE58F0" w:rsidRPr="00E70ECF" w:rsidRDefault="00CE58F0" w:rsidP="00413B8D">
            <w:pPr>
              <w:rPr>
                <w:b/>
                <w:szCs w:val="24"/>
              </w:rPr>
            </w:pPr>
          </w:p>
        </w:tc>
        <w:tc>
          <w:tcPr>
            <w:tcW w:w="1424" w:type="dxa"/>
            <w:tcBorders>
              <w:top w:val="nil"/>
              <w:left w:val="nil"/>
              <w:bottom w:val="nil"/>
              <w:right w:val="nil"/>
            </w:tcBorders>
          </w:tcPr>
          <w:p w:rsidR="00CE58F0" w:rsidRPr="006E28F2" w:rsidRDefault="00CE58F0" w:rsidP="00413B8D">
            <w:pPr>
              <w:jc w:val="right"/>
              <w:rPr>
                <w:b/>
                <w:szCs w:val="24"/>
              </w:rPr>
            </w:pPr>
            <w:r>
              <w:rPr>
                <w:b/>
                <w:szCs w:val="24"/>
              </w:rPr>
              <w:t>31/03/14</w:t>
            </w:r>
          </w:p>
        </w:tc>
        <w:tc>
          <w:tcPr>
            <w:tcW w:w="432" w:type="dxa"/>
            <w:tcBorders>
              <w:top w:val="nil"/>
              <w:left w:val="nil"/>
              <w:bottom w:val="nil"/>
              <w:right w:val="nil"/>
            </w:tcBorders>
          </w:tcPr>
          <w:p w:rsidR="00CE58F0" w:rsidRPr="006E28F2" w:rsidRDefault="00CE58F0" w:rsidP="00413B8D">
            <w:pPr>
              <w:jc w:val="right"/>
              <w:rPr>
                <w:b/>
                <w:szCs w:val="24"/>
              </w:rPr>
            </w:pPr>
          </w:p>
        </w:tc>
        <w:tc>
          <w:tcPr>
            <w:tcW w:w="1705" w:type="dxa"/>
            <w:tcBorders>
              <w:top w:val="nil"/>
              <w:left w:val="nil"/>
              <w:bottom w:val="nil"/>
              <w:right w:val="nil"/>
            </w:tcBorders>
          </w:tcPr>
          <w:p w:rsidR="00CE58F0" w:rsidRPr="006E28F2" w:rsidRDefault="00CE58F0" w:rsidP="00413B8D">
            <w:pPr>
              <w:jc w:val="right"/>
              <w:rPr>
                <w:b/>
                <w:szCs w:val="24"/>
              </w:rPr>
            </w:pPr>
            <w:r>
              <w:rPr>
                <w:b/>
                <w:szCs w:val="24"/>
              </w:rPr>
              <w:t>*31/03/13</w:t>
            </w:r>
          </w:p>
        </w:tc>
      </w:tr>
      <w:tr w:rsidR="00CE58F0" w:rsidRPr="007A07AD" w:rsidTr="00413B8D">
        <w:trPr>
          <w:trHeight w:val="262"/>
        </w:trPr>
        <w:tc>
          <w:tcPr>
            <w:tcW w:w="5227" w:type="dxa"/>
            <w:tcBorders>
              <w:top w:val="nil"/>
              <w:left w:val="nil"/>
              <w:bottom w:val="nil"/>
              <w:right w:val="nil"/>
            </w:tcBorders>
          </w:tcPr>
          <w:p w:rsidR="00CE58F0" w:rsidRPr="00E70ECF" w:rsidRDefault="00CE58F0" w:rsidP="00413B8D">
            <w:pPr>
              <w:rPr>
                <w:b/>
                <w:szCs w:val="24"/>
              </w:rPr>
            </w:pPr>
          </w:p>
        </w:tc>
        <w:tc>
          <w:tcPr>
            <w:tcW w:w="1424" w:type="dxa"/>
            <w:tcBorders>
              <w:top w:val="nil"/>
              <w:left w:val="nil"/>
              <w:bottom w:val="nil"/>
              <w:right w:val="nil"/>
            </w:tcBorders>
          </w:tcPr>
          <w:p w:rsidR="00CE58F0" w:rsidRPr="006E28F2" w:rsidRDefault="00CE58F0" w:rsidP="00413B8D">
            <w:pPr>
              <w:jc w:val="right"/>
              <w:rPr>
                <w:b/>
                <w:szCs w:val="24"/>
              </w:rPr>
            </w:pPr>
            <w:r w:rsidRPr="003B4116">
              <w:rPr>
                <w:b/>
                <w:szCs w:val="24"/>
              </w:rPr>
              <w:t>£m</w:t>
            </w:r>
          </w:p>
        </w:tc>
        <w:tc>
          <w:tcPr>
            <w:tcW w:w="432" w:type="dxa"/>
            <w:tcBorders>
              <w:top w:val="nil"/>
              <w:left w:val="nil"/>
              <w:bottom w:val="nil"/>
              <w:right w:val="nil"/>
            </w:tcBorders>
          </w:tcPr>
          <w:p w:rsidR="00CE58F0" w:rsidRPr="006E28F2" w:rsidRDefault="00CE58F0" w:rsidP="00413B8D">
            <w:pPr>
              <w:jc w:val="right"/>
              <w:rPr>
                <w:b/>
                <w:szCs w:val="24"/>
              </w:rPr>
            </w:pPr>
          </w:p>
        </w:tc>
        <w:tc>
          <w:tcPr>
            <w:tcW w:w="1705" w:type="dxa"/>
            <w:tcBorders>
              <w:top w:val="nil"/>
              <w:left w:val="nil"/>
              <w:bottom w:val="nil"/>
              <w:right w:val="nil"/>
            </w:tcBorders>
          </w:tcPr>
          <w:p w:rsidR="00CE58F0" w:rsidRPr="006E28F2" w:rsidRDefault="00CE58F0" w:rsidP="00413B8D">
            <w:pPr>
              <w:jc w:val="right"/>
              <w:rPr>
                <w:b/>
                <w:szCs w:val="24"/>
              </w:rPr>
            </w:pPr>
            <w:r w:rsidRPr="003B4116">
              <w:rPr>
                <w:b/>
                <w:szCs w:val="24"/>
              </w:rPr>
              <w:t>£m</w:t>
            </w:r>
          </w:p>
        </w:tc>
      </w:tr>
      <w:tr w:rsidR="00CE58F0" w:rsidRPr="007A07AD" w:rsidTr="00413B8D">
        <w:trPr>
          <w:trHeight w:val="277"/>
        </w:trPr>
        <w:tc>
          <w:tcPr>
            <w:tcW w:w="5227" w:type="dxa"/>
            <w:tcBorders>
              <w:top w:val="nil"/>
              <w:left w:val="nil"/>
              <w:bottom w:val="nil"/>
              <w:right w:val="nil"/>
            </w:tcBorders>
          </w:tcPr>
          <w:p w:rsidR="00CE58F0" w:rsidRPr="00E70ECF" w:rsidRDefault="00CE58F0" w:rsidP="00413B8D">
            <w:pPr>
              <w:rPr>
                <w:b/>
                <w:szCs w:val="24"/>
              </w:rPr>
            </w:pPr>
            <w:r w:rsidRPr="00E70ECF">
              <w:rPr>
                <w:b/>
                <w:szCs w:val="24"/>
              </w:rPr>
              <w:t>Pooled Investment Vehicles</w:t>
            </w:r>
          </w:p>
        </w:tc>
        <w:tc>
          <w:tcPr>
            <w:tcW w:w="1424" w:type="dxa"/>
            <w:tcBorders>
              <w:top w:val="nil"/>
              <w:left w:val="nil"/>
              <w:bottom w:val="nil"/>
              <w:right w:val="nil"/>
            </w:tcBorders>
          </w:tcPr>
          <w:p w:rsidR="00CE58F0" w:rsidRPr="007A07AD" w:rsidRDefault="00CE58F0" w:rsidP="00413B8D">
            <w:pPr>
              <w:jc w:val="right"/>
              <w:rPr>
                <w:szCs w:val="24"/>
              </w:rPr>
            </w:pP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Pr="007A07AD" w:rsidRDefault="00CE58F0" w:rsidP="00413B8D">
            <w:pPr>
              <w:jc w:val="right"/>
              <w:rPr>
                <w:szCs w:val="24"/>
              </w:rPr>
            </w:pPr>
          </w:p>
        </w:tc>
      </w:tr>
      <w:tr w:rsidR="00CE58F0" w:rsidRPr="007A07AD" w:rsidTr="00413B8D">
        <w:trPr>
          <w:trHeight w:val="525"/>
        </w:trPr>
        <w:tc>
          <w:tcPr>
            <w:tcW w:w="5227" w:type="dxa"/>
            <w:tcBorders>
              <w:top w:val="nil"/>
              <w:left w:val="nil"/>
              <w:bottom w:val="nil"/>
              <w:right w:val="nil"/>
            </w:tcBorders>
          </w:tcPr>
          <w:p w:rsidR="00CE58F0" w:rsidRPr="00006951" w:rsidRDefault="00CE58F0" w:rsidP="00413B8D">
            <w:pPr>
              <w:rPr>
                <w:b/>
                <w:szCs w:val="24"/>
              </w:rPr>
            </w:pPr>
            <w:r>
              <w:rPr>
                <w:b/>
                <w:szCs w:val="24"/>
              </w:rPr>
              <w:t>UK Managed Funds:</w:t>
            </w:r>
          </w:p>
          <w:p w:rsidR="00CE58F0" w:rsidRDefault="00CE58F0" w:rsidP="00413B8D">
            <w:pPr>
              <w:rPr>
                <w:szCs w:val="24"/>
              </w:rPr>
            </w:pPr>
            <w:r>
              <w:rPr>
                <w:szCs w:val="24"/>
              </w:rPr>
              <w:t>Equity funds</w:t>
            </w:r>
          </w:p>
        </w:tc>
        <w:tc>
          <w:tcPr>
            <w:tcW w:w="1424" w:type="dxa"/>
            <w:tcBorders>
              <w:top w:val="nil"/>
              <w:left w:val="nil"/>
              <w:bottom w:val="nil"/>
              <w:right w:val="nil"/>
            </w:tcBorders>
          </w:tcPr>
          <w:p w:rsidR="00CE58F0" w:rsidRDefault="00CE58F0" w:rsidP="00413B8D">
            <w:pPr>
              <w:jc w:val="right"/>
              <w:rPr>
                <w:szCs w:val="24"/>
              </w:rPr>
            </w:pPr>
          </w:p>
          <w:p w:rsidR="00CE58F0" w:rsidRPr="007A07AD" w:rsidRDefault="00CE58F0" w:rsidP="00413B8D">
            <w:pPr>
              <w:jc w:val="right"/>
              <w:rPr>
                <w:szCs w:val="24"/>
              </w:rPr>
            </w:pPr>
            <w:r>
              <w:rPr>
                <w:szCs w:val="24"/>
              </w:rPr>
              <w:t>0.0</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p>
          <w:p w:rsidR="00CE58F0" w:rsidRPr="007A07AD" w:rsidRDefault="00CE58F0" w:rsidP="00413B8D">
            <w:pPr>
              <w:jc w:val="right"/>
              <w:rPr>
                <w:szCs w:val="24"/>
              </w:rPr>
            </w:pPr>
            <w:r>
              <w:rPr>
                <w:szCs w:val="24"/>
              </w:rPr>
              <w:t>166.0</w:t>
            </w:r>
          </w:p>
        </w:tc>
      </w:tr>
      <w:tr w:rsidR="00CE58F0" w:rsidTr="00413B8D">
        <w:trPr>
          <w:trHeight w:val="277"/>
        </w:trPr>
        <w:tc>
          <w:tcPr>
            <w:tcW w:w="5227" w:type="dxa"/>
            <w:tcBorders>
              <w:top w:val="nil"/>
              <w:left w:val="nil"/>
              <w:bottom w:val="nil"/>
              <w:right w:val="nil"/>
            </w:tcBorders>
          </w:tcPr>
          <w:p w:rsidR="00CE58F0" w:rsidRDefault="00CE58F0" w:rsidP="00413B8D">
            <w:pPr>
              <w:rPr>
                <w:szCs w:val="24"/>
              </w:rPr>
            </w:pPr>
            <w:r>
              <w:rPr>
                <w:szCs w:val="24"/>
              </w:rPr>
              <w:t>Fixed Income funds</w:t>
            </w:r>
          </w:p>
        </w:tc>
        <w:tc>
          <w:tcPr>
            <w:tcW w:w="1424" w:type="dxa"/>
            <w:tcBorders>
              <w:top w:val="nil"/>
              <w:left w:val="nil"/>
              <w:bottom w:val="nil"/>
              <w:right w:val="nil"/>
            </w:tcBorders>
          </w:tcPr>
          <w:p w:rsidR="00CE58F0" w:rsidRDefault="00CE58F0" w:rsidP="00413B8D">
            <w:pPr>
              <w:jc w:val="right"/>
              <w:rPr>
                <w:szCs w:val="24"/>
              </w:rPr>
            </w:pPr>
            <w:r>
              <w:rPr>
                <w:szCs w:val="24"/>
              </w:rPr>
              <w:t>47.0</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r>
              <w:rPr>
                <w:szCs w:val="24"/>
              </w:rPr>
              <w:t>0</w:t>
            </w:r>
          </w:p>
        </w:tc>
      </w:tr>
      <w:tr w:rsidR="00CE58F0" w:rsidTr="00413B8D">
        <w:trPr>
          <w:trHeight w:val="277"/>
        </w:trPr>
        <w:tc>
          <w:tcPr>
            <w:tcW w:w="5227" w:type="dxa"/>
            <w:tcBorders>
              <w:top w:val="nil"/>
              <w:left w:val="nil"/>
              <w:bottom w:val="nil"/>
              <w:right w:val="nil"/>
            </w:tcBorders>
          </w:tcPr>
          <w:p w:rsidR="00CE58F0" w:rsidRDefault="00CE58F0" w:rsidP="00413B8D">
            <w:pPr>
              <w:rPr>
                <w:szCs w:val="24"/>
              </w:rPr>
            </w:pPr>
            <w:r>
              <w:rPr>
                <w:szCs w:val="24"/>
              </w:rPr>
              <w:t>Venture Capital</w:t>
            </w:r>
          </w:p>
        </w:tc>
        <w:tc>
          <w:tcPr>
            <w:tcW w:w="1424" w:type="dxa"/>
            <w:tcBorders>
              <w:top w:val="nil"/>
              <w:left w:val="nil"/>
              <w:bottom w:val="nil"/>
              <w:right w:val="nil"/>
            </w:tcBorders>
          </w:tcPr>
          <w:p w:rsidR="00CE58F0" w:rsidRDefault="00CE58F0" w:rsidP="00413B8D">
            <w:pPr>
              <w:jc w:val="right"/>
              <w:rPr>
                <w:szCs w:val="24"/>
              </w:rPr>
            </w:pPr>
            <w:r>
              <w:rPr>
                <w:szCs w:val="24"/>
              </w:rPr>
              <w:t>264.8</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r>
              <w:rPr>
                <w:szCs w:val="24"/>
              </w:rPr>
              <w:t>*218.8</w:t>
            </w:r>
          </w:p>
        </w:tc>
      </w:tr>
      <w:tr w:rsidR="00CE58F0" w:rsidTr="00413B8D">
        <w:trPr>
          <w:trHeight w:val="277"/>
        </w:trPr>
        <w:tc>
          <w:tcPr>
            <w:tcW w:w="5227" w:type="dxa"/>
            <w:tcBorders>
              <w:top w:val="nil"/>
              <w:left w:val="nil"/>
              <w:bottom w:val="nil"/>
              <w:right w:val="nil"/>
            </w:tcBorders>
          </w:tcPr>
          <w:p w:rsidR="00CE58F0" w:rsidRDefault="00CE58F0" w:rsidP="00413B8D">
            <w:pPr>
              <w:rPr>
                <w:b/>
              </w:rPr>
            </w:pPr>
            <w:r w:rsidRPr="00F25BB1">
              <w:rPr>
                <w:b/>
              </w:rPr>
              <w:t>O</w:t>
            </w:r>
            <w:r>
              <w:rPr>
                <w:b/>
              </w:rPr>
              <w:t>verseas</w:t>
            </w:r>
            <w:r w:rsidRPr="00F25BB1">
              <w:rPr>
                <w:b/>
              </w:rPr>
              <w:t xml:space="preserve"> Managed Funds:</w:t>
            </w:r>
          </w:p>
        </w:tc>
        <w:tc>
          <w:tcPr>
            <w:tcW w:w="1424" w:type="dxa"/>
            <w:tcBorders>
              <w:top w:val="nil"/>
              <w:left w:val="nil"/>
              <w:bottom w:val="nil"/>
              <w:right w:val="nil"/>
            </w:tcBorders>
          </w:tcPr>
          <w:p w:rsidR="00CE58F0" w:rsidRDefault="00CE58F0" w:rsidP="00413B8D">
            <w:pPr>
              <w:jc w:val="right"/>
              <w:rPr>
                <w:szCs w:val="24"/>
              </w:rPr>
            </w:pP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p>
        </w:tc>
      </w:tr>
      <w:tr w:rsidR="00CE58F0" w:rsidTr="00413B8D">
        <w:trPr>
          <w:trHeight w:val="262"/>
        </w:trPr>
        <w:tc>
          <w:tcPr>
            <w:tcW w:w="5227" w:type="dxa"/>
            <w:tcBorders>
              <w:top w:val="nil"/>
              <w:left w:val="nil"/>
              <w:bottom w:val="nil"/>
              <w:right w:val="nil"/>
            </w:tcBorders>
          </w:tcPr>
          <w:p w:rsidR="00CE58F0" w:rsidRDefault="00CE58F0" w:rsidP="00413B8D">
            <w:pPr>
              <w:rPr>
                <w:szCs w:val="24"/>
              </w:rPr>
            </w:pPr>
            <w:r>
              <w:rPr>
                <w:szCs w:val="24"/>
              </w:rPr>
              <w:t>Equity Funds</w:t>
            </w:r>
          </w:p>
        </w:tc>
        <w:tc>
          <w:tcPr>
            <w:tcW w:w="1424" w:type="dxa"/>
            <w:tcBorders>
              <w:top w:val="nil"/>
              <w:left w:val="nil"/>
              <w:bottom w:val="nil"/>
              <w:right w:val="nil"/>
            </w:tcBorders>
          </w:tcPr>
          <w:p w:rsidR="00CE58F0" w:rsidRDefault="00CE58F0" w:rsidP="00413B8D">
            <w:pPr>
              <w:jc w:val="right"/>
              <w:rPr>
                <w:szCs w:val="24"/>
              </w:rPr>
            </w:pPr>
            <w:r>
              <w:rPr>
                <w:szCs w:val="24"/>
              </w:rPr>
              <w:t>644.1</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r>
              <w:rPr>
                <w:szCs w:val="24"/>
              </w:rPr>
              <w:t>632.2</w:t>
            </w:r>
          </w:p>
        </w:tc>
      </w:tr>
      <w:tr w:rsidR="00CE58F0" w:rsidTr="00413B8D">
        <w:trPr>
          <w:trHeight w:val="277"/>
        </w:trPr>
        <w:tc>
          <w:tcPr>
            <w:tcW w:w="5227" w:type="dxa"/>
            <w:tcBorders>
              <w:top w:val="nil"/>
              <w:left w:val="nil"/>
              <w:bottom w:val="nil"/>
              <w:right w:val="nil"/>
            </w:tcBorders>
          </w:tcPr>
          <w:p w:rsidR="00CE58F0" w:rsidRDefault="00CE58F0" w:rsidP="00413B8D">
            <w:pPr>
              <w:rPr>
                <w:szCs w:val="24"/>
              </w:rPr>
            </w:pPr>
            <w:r>
              <w:rPr>
                <w:szCs w:val="24"/>
              </w:rPr>
              <w:t>Fixed Income funds</w:t>
            </w:r>
          </w:p>
        </w:tc>
        <w:tc>
          <w:tcPr>
            <w:tcW w:w="1424" w:type="dxa"/>
            <w:tcBorders>
              <w:top w:val="nil"/>
              <w:left w:val="nil"/>
              <w:bottom w:val="nil"/>
              <w:right w:val="nil"/>
            </w:tcBorders>
          </w:tcPr>
          <w:p w:rsidR="00CE58F0" w:rsidRDefault="00CE58F0" w:rsidP="00413B8D">
            <w:pPr>
              <w:jc w:val="right"/>
              <w:rPr>
                <w:szCs w:val="24"/>
              </w:rPr>
            </w:pPr>
            <w:r>
              <w:rPr>
                <w:szCs w:val="24"/>
              </w:rPr>
              <w:t>970.3</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r>
              <w:rPr>
                <w:szCs w:val="24"/>
              </w:rPr>
              <w:t>*412.0</w:t>
            </w:r>
          </w:p>
        </w:tc>
      </w:tr>
      <w:tr w:rsidR="00CE58F0" w:rsidTr="00413B8D">
        <w:trPr>
          <w:trHeight w:val="277"/>
        </w:trPr>
        <w:tc>
          <w:tcPr>
            <w:tcW w:w="5227" w:type="dxa"/>
            <w:tcBorders>
              <w:top w:val="nil"/>
              <w:left w:val="nil"/>
              <w:bottom w:val="nil"/>
              <w:right w:val="nil"/>
            </w:tcBorders>
          </w:tcPr>
          <w:p w:rsidR="00CE58F0" w:rsidRDefault="00CE58F0" w:rsidP="00413B8D">
            <w:pPr>
              <w:rPr>
                <w:szCs w:val="24"/>
              </w:rPr>
            </w:pPr>
            <w:r>
              <w:rPr>
                <w:szCs w:val="24"/>
              </w:rPr>
              <w:t>Property funds</w:t>
            </w:r>
          </w:p>
        </w:tc>
        <w:tc>
          <w:tcPr>
            <w:tcW w:w="1424" w:type="dxa"/>
            <w:tcBorders>
              <w:top w:val="nil"/>
              <w:left w:val="nil"/>
              <w:bottom w:val="nil"/>
              <w:right w:val="nil"/>
            </w:tcBorders>
          </w:tcPr>
          <w:p w:rsidR="00CE58F0" w:rsidRDefault="00CE58F0" w:rsidP="00413B8D">
            <w:pPr>
              <w:jc w:val="right"/>
              <w:rPr>
                <w:szCs w:val="24"/>
              </w:rPr>
            </w:pPr>
            <w:r>
              <w:rPr>
                <w:szCs w:val="24"/>
              </w:rPr>
              <w:t>25.1</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r>
              <w:rPr>
                <w:szCs w:val="24"/>
              </w:rPr>
              <w:t>7.5</w:t>
            </w:r>
          </w:p>
        </w:tc>
      </w:tr>
      <w:tr w:rsidR="00CE58F0" w:rsidTr="00413B8D">
        <w:trPr>
          <w:trHeight w:val="277"/>
        </w:trPr>
        <w:tc>
          <w:tcPr>
            <w:tcW w:w="5227" w:type="dxa"/>
            <w:tcBorders>
              <w:top w:val="nil"/>
              <w:left w:val="nil"/>
              <w:bottom w:val="nil"/>
              <w:right w:val="nil"/>
            </w:tcBorders>
          </w:tcPr>
          <w:p w:rsidR="00CE58F0" w:rsidRDefault="00CE58F0" w:rsidP="00413B8D">
            <w:pPr>
              <w:rPr>
                <w:szCs w:val="24"/>
              </w:rPr>
            </w:pPr>
            <w:r>
              <w:rPr>
                <w:szCs w:val="24"/>
              </w:rPr>
              <w:t>Venture Capital</w:t>
            </w:r>
          </w:p>
        </w:tc>
        <w:tc>
          <w:tcPr>
            <w:tcW w:w="1424" w:type="dxa"/>
            <w:tcBorders>
              <w:top w:val="nil"/>
              <w:left w:val="nil"/>
              <w:bottom w:val="nil"/>
              <w:right w:val="nil"/>
            </w:tcBorders>
          </w:tcPr>
          <w:p w:rsidR="00CE58F0" w:rsidRDefault="00CE58F0" w:rsidP="00413B8D">
            <w:pPr>
              <w:jc w:val="right"/>
              <w:rPr>
                <w:szCs w:val="24"/>
              </w:rPr>
            </w:pPr>
            <w:r>
              <w:rPr>
                <w:szCs w:val="24"/>
              </w:rPr>
              <w:t>287.6</w:t>
            </w: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r>
              <w:rPr>
                <w:szCs w:val="24"/>
              </w:rPr>
              <w:t>164.7</w:t>
            </w:r>
          </w:p>
        </w:tc>
      </w:tr>
      <w:tr w:rsidR="00CE58F0" w:rsidTr="00413B8D">
        <w:trPr>
          <w:trHeight w:val="262"/>
        </w:trPr>
        <w:tc>
          <w:tcPr>
            <w:tcW w:w="5227" w:type="dxa"/>
            <w:tcBorders>
              <w:top w:val="nil"/>
              <w:left w:val="nil"/>
              <w:bottom w:val="nil"/>
              <w:right w:val="nil"/>
            </w:tcBorders>
          </w:tcPr>
          <w:p w:rsidR="00CE58F0" w:rsidRDefault="00CE58F0" w:rsidP="00413B8D">
            <w:pPr>
              <w:rPr>
                <w:szCs w:val="24"/>
              </w:rPr>
            </w:pPr>
          </w:p>
        </w:tc>
        <w:tc>
          <w:tcPr>
            <w:tcW w:w="1424" w:type="dxa"/>
            <w:tcBorders>
              <w:top w:val="single" w:sz="12" w:space="0" w:color="auto"/>
              <w:left w:val="nil"/>
              <w:bottom w:val="single" w:sz="12" w:space="0" w:color="auto"/>
              <w:right w:val="nil"/>
            </w:tcBorders>
          </w:tcPr>
          <w:p w:rsidR="00CE58F0" w:rsidRPr="006E28F2" w:rsidRDefault="00CE58F0" w:rsidP="00413B8D">
            <w:pPr>
              <w:jc w:val="right"/>
              <w:rPr>
                <w:szCs w:val="24"/>
              </w:rPr>
            </w:pPr>
            <w:r>
              <w:rPr>
                <w:szCs w:val="24"/>
              </w:rPr>
              <w:t>2,238.9</w:t>
            </w:r>
          </w:p>
        </w:tc>
        <w:tc>
          <w:tcPr>
            <w:tcW w:w="432" w:type="dxa"/>
            <w:tcBorders>
              <w:top w:val="nil"/>
              <w:left w:val="nil"/>
              <w:bottom w:val="nil"/>
              <w:right w:val="nil"/>
            </w:tcBorders>
          </w:tcPr>
          <w:p w:rsidR="00CE58F0" w:rsidRPr="006E28F2" w:rsidRDefault="00CE58F0" w:rsidP="00413B8D">
            <w:pPr>
              <w:jc w:val="right"/>
              <w:rPr>
                <w:szCs w:val="24"/>
              </w:rPr>
            </w:pPr>
          </w:p>
        </w:tc>
        <w:tc>
          <w:tcPr>
            <w:tcW w:w="1705" w:type="dxa"/>
            <w:tcBorders>
              <w:top w:val="single" w:sz="12" w:space="0" w:color="auto"/>
              <w:left w:val="nil"/>
              <w:bottom w:val="single" w:sz="12" w:space="0" w:color="auto"/>
              <w:right w:val="nil"/>
            </w:tcBorders>
          </w:tcPr>
          <w:p w:rsidR="00CE58F0" w:rsidRPr="006E28F2" w:rsidRDefault="00CE58F0" w:rsidP="00413B8D">
            <w:pPr>
              <w:jc w:val="right"/>
              <w:rPr>
                <w:szCs w:val="24"/>
              </w:rPr>
            </w:pPr>
            <w:r w:rsidRPr="006E28F2">
              <w:rPr>
                <w:szCs w:val="24"/>
              </w:rPr>
              <w:t>1,601.2</w:t>
            </w:r>
          </w:p>
        </w:tc>
      </w:tr>
      <w:tr w:rsidR="00CE58F0" w:rsidTr="00413B8D">
        <w:trPr>
          <w:trHeight w:val="262"/>
        </w:trPr>
        <w:tc>
          <w:tcPr>
            <w:tcW w:w="5227" w:type="dxa"/>
            <w:tcBorders>
              <w:top w:val="nil"/>
              <w:left w:val="nil"/>
              <w:bottom w:val="nil"/>
              <w:right w:val="nil"/>
            </w:tcBorders>
          </w:tcPr>
          <w:p w:rsidR="00CE58F0" w:rsidRDefault="00CE58F0" w:rsidP="00413B8D">
            <w:pPr>
              <w:rPr>
                <w:szCs w:val="24"/>
              </w:rPr>
            </w:pPr>
          </w:p>
        </w:tc>
        <w:tc>
          <w:tcPr>
            <w:tcW w:w="1424" w:type="dxa"/>
            <w:tcBorders>
              <w:top w:val="nil"/>
              <w:left w:val="nil"/>
              <w:bottom w:val="nil"/>
              <w:right w:val="nil"/>
            </w:tcBorders>
          </w:tcPr>
          <w:p w:rsidR="00CE58F0" w:rsidRDefault="00CE58F0" w:rsidP="00413B8D">
            <w:pPr>
              <w:jc w:val="right"/>
              <w:rPr>
                <w:szCs w:val="24"/>
              </w:rPr>
            </w:pPr>
          </w:p>
        </w:tc>
        <w:tc>
          <w:tcPr>
            <w:tcW w:w="432" w:type="dxa"/>
            <w:tcBorders>
              <w:top w:val="nil"/>
              <w:left w:val="nil"/>
              <w:bottom w:val="nil"/>
              <w:right w:val="nil"/>
            </w:tcBorders>
          </w:tcPr>
          <w:p w:rsidR="00CE58F0" w:rsidRPr="007A07AD" w:rsidRDefault="00CE58F0" w:rsidP="00413B8D">
            <w:pPr>
              <w:jc w:val="right"/>
              <w:rPr>
                <w:szCs w:val="24"/>
              </w:rPr>
            </w:pPr>
          </w:p>
        </w:tc>
        <w:tc>
          <w:tcPr>
            <w:tcW w:w="1705" w:type="dxa"/>
            <w:tcBorders>
              <w:top w:val="nil"/>
              <w:left w:val="nil"/>
              <w:bottom w:val="nil"/>
              <w:right w:val="nil"/>
            </w:tcBorders>
          </w:tcPr>
          <w:p w:rsidR="00CE58F0" w:rsidRDefault="00CE58F0" w:rsidP="00413B8D">
            <w:pPr>
              <w:jc w:val="right"/>
              <w:rPr>
                <w:szCs w:val="24"/>
              </w:rPr>
            </w:pPr>
          </w:p>
        </w:tc>
      </w:tr>
    </w:tbl>
    <w:p w:rsidR="00CE58F0" w:rsidRDefault="00CE58F0" w:rsidP="00CE58F0">
      <w:pPr>
        <w:ind w:left="720"/>
      </w:pPr>
      <w:r>
        <w:t>*</w:t>
      </w:r>
      <w:r w:rsidDel="00075537">
        <w:t xml:space="preserve"> </w:t>
      </w:r>
      <w:r>
        <w:t>Change in disclosure category has led to a prior year restatement of asset classes.</w:t>
      </w:r>
    </w:p>
    <w:p w:rsidR="00CE58F0" w:rsidRDefault="00CE58F0" w:rsidP="00CE58F0">
      <w:pPr>
        <w:ind w:left="720"/>
      </w:pPr>
    </w:p>
    <w:p w:rsidR="00CE58F0" w:rsidRDefault="00CE58F0" w:rsidP="00CE58F0"/>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tc>
      </w:tr>
      <w:tr w:rsidR="00CE58F0" w:rsidRPr="007A07AD" w:rsidTr="00413B8D">
        <w:tc>
          <w:tcPr>
            <w:tcW w:w="5058" w:type="dxa"/>
          </w:tcPr>
          <w:p w:rsidR="00CE58F0" w:rsidRPr="00601704" w:rsidRDefault="00CE58F0" w:rsidP="00413B8D">
            <w:pPr>
              <w:rPr>
                <w:b/>
                <w:szCs w:val="24"/>
              </w:rPr>
            </w:pPr>
            <w:r w:rsidRPr="00601704">
              <w:rPr>
                <w:b/>
                <w:szCs w:val="24"/>
              </w:rPr>
              <w:t>Properties</w:t>
            </w:r>
          </w:p>
        </w:tc>
        <w:tc>
          <w:tcPr>
            <w:tcW w:w="1559" w:type="dxa"/>
          </w:tcPr>
          <w:p w:rsidR="00CE58F0" w:rsidRPr="007A07AD"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p>
        </w:tc>
      </w:tr>
      <w:tr w:rsidR="00CE58F0" w:rsidRPr="007A07AD" w:rsidTr="00413B8D">
        <w:tc>
          <w:tcPr>
            <w:tcW w:w="5058" w:type="dxa"/>
          </w:tcPr>
          <w:p w:rsidR="00CE58F0" w:rsidRDefault="00CE58F0" w:rsidP="00413B8D">
            <w:pPr>
              <w:rPr>
                <w:szCs w:val="24"/>
              </w:rPr>
            </w:pPr>
            <w:r>
              <w:rPr>
                <w:szCs w:val="24"/>
              </w:rPr>
              <w:t>UK – Freehold</w:t>
            </w:r>
          </w:p>
        </w:tc>
        <w:tc>
          <w:tcPr>
            <w:tcW w:w="1559" w:type="dxa"/>
          </w:tcPr>
          <w:p w:rsidR="00CE58F0" w:rsidRPr="007A07AD" w:rsidRDefault="00CE58F0" w:rsidP="00413B8D">
            <w:pPr>
              <w:jc w:val="right"/>
              <w:rPr>
                <w:szCs w:val="24"/>
              </w:rPr>
            </w:pPr>
            <w:r>
              <w:rPr>
                <w:szCs w:val="24"/>
              </w:rPr>
              <w:t>389.8</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346.4</w:t>
            </w:r>
          </w:p>
        </w:tc>
      </w:tr>
      <w:tr w:rsidR="00CE58F0" w:rsidRPr="007A07AD" w:rsidTr="00413B8D">
        <w:tc>
          <w:tcPr>
            <w:tcW w:w="5058" w:type="dxa"/>
          </w:tcPr>
          <w:p w:rsidR="00CE58F0" w:rsidRDefault="00CE58F0" w:rsidP="00413B8D">
            <w:pPr>
              <w:rPr>
                <w:szCs w:val="24"/>
              </w:rPr>
            </w:pPr>
            <w:r>
              <w:rPr>
                <w:szCs w:val="24"/>
              </w:rPr>
              <w:t>UK – Long Leasehold</w:t>
            </w:r>
          </w:p>
        </w:tc>
        <w:tc>
          <w:tcPr>
            <w:tcW w:w="1559" w:type="dxa"/>
            <w:tcBorders>
              <w:bottom w:val="single" w:sz="18" w:space="0" w:color="auto"/>
            </w:tcBorders>
          </w:tcPr>
          <w:p w:rsidR="00CE58F0" w:rsidRPr="007A07AD" w:rsidRDefault="00CE58F0" w:rsidP="00413B8D">
            <w:pPr>
              <w:jc w:val="right"/>
              <w:rPr>
                <w:szCs w:val="24"/>
              </w:rPr>
            </w:pPr>
            <w:r>
              <w:rPr>
                <w:szCs w:val="24"/>
              </w:rPr>
              <w:t>60.7</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88.5</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450.5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434.9</w:t>
            </w:r>
          </w:p>
        </w:tc>
      </w:tr>
    </w:tbl>
    <w:p w:rsidR="00CE58F0" w:rsidRDefault="00CE58F0" w:rsidP="00CE58F0"/>
    <w:p w:rsidR="00CE58F0" w:rsidRDefault="00CE58F0" w:rsidP="00CE58F0"/>
    <w:p w:rsidR="00BE7D70" w:rsidRDefault="00BE7D70" w:rsidP="00CE58F0"/>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783C33" w:rsidRDefault="00783C33" w:rsidP="00413B8D">
            <w:pPr>
              <w:jc w:val="right"/>
              <w:rPr>
                <w:b/>
                <w:szCs w:val="24"/>
              </w:rPr>
            </w:pPr>
          </w:p>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p>
          <w:p w:rsidR="00783C33" w:rsidRDefault="00783C33" w:rsidP="00413B8D">
            <w:pPr>
              <w:jc w:val="right"/>
              <w:rPr>
                <w:b/>
                <w:szCs w:val="24"/>
              </w:rPr>
            </w:pPr>
            <w:r>
              <w:rPr>
                <w:b/>
                <w:szCs w:val="24"/>
              </w:rPr>
              <w:t>31/03/13</w:t>
            </w:r>
          </w:p>
          <w:p w:rsidR="00783C33" w:rsidRDefault="00783C33" w:rsidP="00413B8D">
            <w:pPr>
              <w:jc w:val="right"/>
              <w:rPr>
                <w:b/>
                <w:szCs w:val="24"/>
              </w:rPr>
            </w:pPr>
            <w:r>
              <w:rPr>
                <w:b/>
                <w:szCs w:val="24"/>
              </w:rPr>
              <w:t>£m</w:t>
            </w:r>
          </w:p>
        </w:tc>
      </w:tr>
      <w:tr w:rsidR="00CE58F0" w:rsidRPr="007A07AD" w:rsidTr="00413B8D">
        <w:tc>
          <w:tcPr>
            <w:tcW w:w="5058" w:type="dxa"/>
          </w:tcPr>
          <w:p w:rsidR="00CE58F0" w:rsidRPr="007A07AD" w:rsidRDefault="00CE58F0" w:rsidP="00413B8D">
            <w:pPr>
              <w:rPr>
                <w:szCs w:val="24"/>
              </w:rPr>
            </w:pPr>
            <w:r>
              <w:rPr>
                <w:szCs w:val="24"/>
              </w:rPr>
              <w:t>Balance at start of the year</w:t>
            </w:r>
          </w:p>
        </w:tc>
        <w:tc>
          <w:tcPr>
            <w:tcW w:w="1559" w:type="dxa"/>
          </w:tcPr>
          <w:p w:rsidR="00CE58F0" w:rsidRPr="007A07AD" w:rsidRDefault="00CE58F0" w:rsidP="00413B8D">
            <w:pPr>
              <w:jc w:val="right"/>
              <w:rPr>
                <w:szCs w:val="24"/>
              </w:rPr>
            </w:pPr>
            <w:r>
              <w:rPr>
                <w:szCs w:val="24"/>
              </w:rPr>
              <w:t>434.9</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383.9</w:t>
            </w:r>
          </w:p>
        </w:tc>
      </w:tr>
      <w:tr w:rsidR="00CE58F0" w:rsidRPr="007A07AD" w:rsidTr="00413B8D">
        <w:tc>
          <w:tcPr>
            <w:tcW w:w="5058" w:type="dxa"/>
          </w:tcPr>
          <w:p w:rsidR="00CE58F0" w:rsidRDefault="00CE58F0" w:rsidP="00413B8D">
            <w:pPr>
              <w:rPr>
                <w:szCs w:val="24"/>
              </w:rPr>
            </w:pPr>
            <w:r>
              <w:rPr>
                <w:szCs w:val="24"/>
              </w:rPr>
              <w:t>Additions</w:t>
            </w:r>
          </w:p>
        </w:tc>
        <w:tc>
          <w:tcPr>
            <w:tcW w:w="1559" w:type="dxa"/>
          </w:tcPr>
          <w:p w:rsidR="00CE58F0" w:rsidRPr="007A07AD" w:rsidRDefault="00CE58F0" w:rsidP="00413B8D">
            <w:pPr>
              <w:jc w:val="right"/>
              <w:rPr>
                <w:szCs w:val="24"/>
              </w:rPr>
            </w:pPr>
            <w:r>
              <w:rPr>
                <w:szCs w:val="24"/>
              </w:rPr>
              <w:t>15.0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72.1</w:t>
            </w:r>
          </w:p>
        </w:tc>
      </w:tr>
      <w:tr w:rsidR="00CE58F0" w:rsidRPr="007A07AD" w:rsidTr="00413B8D">
        <w:tc>
          <w:tcPr>
            <w:tcW w:w="5058" w:type="dxa"/>
          </w:tcPr>
          <w:p w:rsidR="00CE58F0" w:rsidRDefault="00CE58F0" w:rsidP="00413B8D">
            <w:pPr>
              <w:rPr>
                <w:szCs w:val="24"/>
              </w:rPr>
            </w:pPr>
            <w:r>
              <w:rPr>
                <w:szCs w:val="24"/>
              </w:rPr>
              <w:t>Disposals</w:t>
            </w:r>
          </w:p>
        </w:tc>
        <w:tc>
          <w:tcPr>
            <w:tcW w:w="1559" w:type="dxa"/>
          </w:tcPr>
          <w:p w:rsidR="00CE58F0" w:rsidRPr="007A07AD" w:rsidRDefault="00CE58F0" w:rsidP="00413B8D">
            <w:pPr>
              <w:jc w:val="right"/>
              <w:rPr>
                <w:szCs w:val="24"/>
              </w:rPr>
            </w:pPr>
            <w:r>
              <w:rPr>
                <w:szCs w:val="24"/>
              </w:rPr>
              <w:t>(43.3)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(5.3)</w:t>
            </w:r>
          </w:p>
        </w:tc>
      </w:tr>
      <w:tr w:rsidR="00CE58F0" w:rsidRPr="007A07AD" w:rsidTr="00413B8D">
        <w:tc>
          <w:tcPr>
            <w:tcW w:w="5058" w:type="dxa"/>
          </w:tcPr>
          <w:p w:rsidR="00CE58F0" w:rsidRDefault="00CE58F0" w:rsidP="00413B8D">
            <w:pPr>
              <w:rPr>
                <w:szCs w:val="24"/>
              </w:rPr>
            </w:pPr>
            <w:r>
              <w:rPr>
                <w:szCs w:val="24"/>
              </w:rPr>
              <w:t>Net gain/loss on fair value</w:t>
            </w:r>
          </w:p>
        </w:tc>
        <w:tc>
          <w:tcPr>
            <w:tcW w:w="1559" w:type="dxa"/>
          </w:tcPr>
          <w:p w:rsidR="00CE58F0" w:rsidRPr="007A07AD" w:rsidRDefault="00CE58F0" w:rsidP="00413B8D">
            <w:pPr>
              <w:jc w:val="right"/>
              <w:rPr>
                <w:szCs w:val="24"/>
              </w:rPr>
            </w:pPr>
            <w:r>
              <w:rPr>
                <w:szCs w:val="24"/>
              </w:rPr>
              <w:t>43.9</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(15.8)</w:t>
            </w:r>
          </w:p>
        </w:tc>
      </w:tr>
      <w:tr w:rsidR="00CE58F0" w:rsidRPr="007A07AD" w:rsidTr="00413B8D">
        <w:tc>
          <w:tcPr>
            <w:tcW w:w="5058" w:type="dxa"/>
          </w:tcPr>
          <w:p w:rsidR="00CE58F0" w:rsidRDefault="00CE58F0" w:rsidP="00413B8D">
            <w:pPr>
              <w:rPr>
                <w:szCs w:val="24"/>
              </w:rPr>
            </w:pPr>
            <w:r>
              <w:rPr>
                <w:szCs w:val="24"/>
              </w:rPr>
              <w:t>Balance at the end of the year</w:t>
            </w: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450.5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434.9</w:t>
            </w:r>
          </w:p>
        </w:tc>
      </w:tr>
    </w:tbl>
    <w:p w:rsidR="00CE58F0" w:rsidRDefault="00CE58F0" w:rsidP="00CE58F0">
      <w:pPr>
        <w:ind w:left="720"/>
        <w:rPr>
          <w:szCs w:val="24"/>
        </w:rPr>
      </w:pPr>
    </w:p>
    <w:p w:rsidR="00CE58F0" w:rsidRDefault="00CE58F0" w:rsidP="00CE58F0">
      <w:pPr>
        <w:ind w:left="720"/>
        <w:rPr>
          <w:b/>
          <w:szCs w:val="24"/>
        </w:rPr>
      </w:pPr>
    </w:p>
    <w:p w:rsidR="00CE58F0" w:rsidRDefault="00CE58F0" w:rsidP="00CE58F0">
      <w:pPr>
        <w:ind w:left="720"/>
        <w:rPr>
          <w:szCs w:val="24"/>
        </w:rPr>
      </w:pPr>
      <w:r>
        <w:rPr>
          <w:b/>
          <w:szCs w:val="24"/>
        </w:rPr>
        <w:t>D</w:t>
      </w:r>
      <w:r w:rsidRPr="00271BA8">
        <w:rPr>
          <w:b/>
          <w:szCs w:val="24"/>
        </w:rPr>
        <w:t>erivative contracts (forward currency positions</w:t>
      </w:r>
      <w:r w:rsidRPr="00271BA8">
        <w:rPr>
          <w:szCs w:val="24"/>
        </w:rPr>
        <w:t>)</w:t>
      </w:r>
    </w:p>
    <w:tbl>
      <w:tblPr>
        <w:tblStyle w:val="ColorfulList1"/>
        <w:tblW w:w="9780" w:type="dxa"/>
        <w:tblInd w:w="817" w:type="dxa"/>
        <w:tblLayout w:type="fixed"/>
        <w:tblLook w:val="04A0" w:firstRow="1" w:lastRow="0" w:firstColumn="1" w:lastColumn="0" w:noHBand="0" w:noVBand="1"/>
      </w:tblPr>
      <w:tblGrid>
        <w:gridCol w:w="1559"/>
        <w:gridCol w:w="1275"/>
        <w:gridCol w:w="1068"/>
        <w:gridCol w:w="1526"/>
        <w:gridCol w:w="1375"/>
        <w:gridCol w:w="1418"/>
        <w:gridCol w:w="1559"/>
      </w:tblGrid>
      <w:tr w:rsidR="00CE58F0" w:rsidTr="003F1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CE58F0" w:rsidRPr="00114524" w:rsidRDefault="00CE58F0" w:rsidP="00413B8D">
            <w:pPr>
              <w:rPr>
                <w:rFonts w:cs="Arial"/>
                <w:b w:val="0"/>
                <w:szCs w:val="24"/>
              </w:rPr>
            </w:pPr>
            <w:r w:rsidRPr="00114524">
              <w:rPr>
                <w:rFonts w:cs="Arial"/>
                <w:b w:val="0"/>
                <w:szCs w:val="24"/>
              </w:rPr>
              <w:t>one to six months</w:t>
            </w:r>
          </w:p>
        </w:tc>
        <w:tc>
          <w:tcPr>
            <w:tcW w:w="1275" w:type="dxa"/>
            <w:shd w:val="clear" w:color="auto" w:fill="auto"/>
            <w:vAlign w:val="center"/>
          </w:tcPr>
          <w:p w:rsidR="00CE58F0" w:rsidRPr="00114524" w:rsidRDefault="00CE58F0" w:rsidP="00413B8D">
            <w:pPr>
              <w:jc w:val="right"/>
              <w:cnfStyle w:val="100000000000" w:firstRow="1" w:lastRow="0" w:firstColumn="0" w:lastColumn="0" w:oddVBand="0" w:evenVBand="0" w:oddHBand="0" w:evenHBand="0" w:firstRowFirstColumn="0" w:firstRowLastColumn="0" w:lastRowFirstColumn="0" w:lastRowLastColumn="0"/>
              <w:rPr>
                <w:rFonts w:cs="Arial"/>
                <w:szCs w:val="24"/>
              </w:rPr>
            </w:pPr>
            <w:r w:rsidRPr="00114524">
              <w:rPr>
                <w:rFonts w:cs="Arial"/>
                <w:szCs w:val="24"/>
              </w:rPr>
              <w:t>USD</w:t>
            </w:r>
          </w:p>
        </w:tc>
        <w:tc>
          <w:tcPr>
            <w:tcW w:w="1068" w:type="dxa"/>
            <w:shd w:val="clear" w:color="auto" w:fill="auto"/>
            <w:vAlign w:val="center"/>
          </w:tcPr>
          <w:p w:rsidR="00CE58F0" w:rsidRPr="00114524" w:rsidRDefault="00CE58F0" w:rsidP="00413B8D">
            <w:pPr>
              <w:jc w:val="right"/>
              <w:cnfStyle w:val="100000000000" w:firstRow="1" w:lastRow="0" w:firstColumn="0" w:lastColumn="0" w:oddVBand="0" w:evenVBand="0" w:oddHBand="0" w:evenHBand="0" w:firstRowFirstColumn="0" w:firstRowLastColumn="0" w:lastRowFirstColumn="0" w:lastRowLastColumn="0"/>
              <w:rPr>
                <w:rFonts w:cs="Arial"/>
                <w:szCs w:val="24"/>
              </w:rPr>
            </w:pPr>
            <w:r w:rsidRPr="00114524">
              <w:rPr>
                <w:rFonts w:cs="Arial"/>
                <w:szCs w:val="24"/>
              </w:rPr>
              <w:t>3.7</w:t>
            </w:r>
          </w:p>
        </w:tc>
        <w:tc>
          <w:tcPr>
            <w:tcW w:w="1526" w:type="dxa"/>
            <w:shd w:val="clear" w:color="auto" w:fill="auto"/>
            <w:vAlign w:val="center"/>
          </w:tcPr>
          <w:p w:rsidR="00CE58F0" w:rsidRPr="00114524" w:rsidRDefault="00CE58F0" w:rsidP="00413B8D">
            <w:pPr>
              <w:jc w:val="right"/>
              <w:cnfStyle w:val="100000000000" w:firstRow="1" w:lastRow="0" w:firstColumn="0" w:lastColumn="0" w:oddVBand="0" w:evenVBand="0" w:oddHBand="0" w:evenHBand="0" w:firstRowFirstColumn="0" w:firstRowLastColumn="0" w:lastRowFirstColumn="0" w:lastRowLastColumn="0"/>
              <w:rPr>
                <w:rFonts w:cs="Arial"/>
                <w:szCs w:val="24"/>
              </w:rPr>
            </w:pPr>
            <w:r w:rsidRPr="00114524">
              <w:rPr>
                <w:rFonts w:cs="Arial"/>
                <w:szCs w:val="24"/>
              </w:rPr>
              <w:t>AUD</w:t>
            </w:r>
          </w:p>
        </w:tc>
        <w:tc>
          <w:tcPr>
            <w:tcW w:w="1375" w:type="dxa"/>
            <w:shd w:val="clear" w:color="auto" w:fill="auto"/>
            <w:vAlign w:val="center"/>
          </w:tcPr>
          <w:p w:rsidR="00CE58F0" w:rsidRPr="00114524" w:rsidRDefault="00CE58F0" w:rsidP="00413B8D">
            <w:pPr>
              <w:jc w:val="right"/>
              <w:cnfStyle w:val="100000000000" w:firstRow="1" w:lastRow="0" w:firstColumn="0" w:lastColumn="0" w:oddVBand="0" w:evenVBand="0" w:oddHBand="0" w:evenHBand="0" w:firstRowFirstColumn="0" w:firstRowLastColumn="0" w:lastRowFirstColumn="0" w:lastRowLastColumn="0"/>
              <w:rPr>
                <w:rFonts w:cs="Arial"/>
                <w:szCs w:val="24"/>
              </w:rPr>
            </w:pPr>
            <w:r w:rsidRPr="00114524">
              <w:rPr>
                <w:rFonts w:cs="Arial"/>
                <w:szCs w:val="24"/>
              </w:rPr>
              <w:t>-4.2</w:t>
            </w:r>
          </w:p>
        </w:tc>
        <w:tc>
          <w:tcPr>
            <w:tcW w:w="1418" w:type="dxa"/>
            <w:shd w:val="clear" w:color="auto" w:fill="auto"/>
            <w:vAlign w:val="center"/>
          </w:tcPr>
          <w:p w:rsidR="00CE58F0" w:rsidRPr="00114524" w:rsidRDefault="00CE58F0" w:rsidP="00413B8D">
            <w:pPr>
              <w:jc w:val="right"/>
              <w:cnfStyle w:val="100000000000" w:firstRow="1" w:lastRow="0" w:firstColumn="0" w:lastColumn="0" w:oddVBand="0" w:evenVBand="0" w:oddHBand="0" w:evenHBand="0" w:firstRowFirstColumn="0" w:firstRowLastColumn="0" w:lastRowFirstColumn="0" w:lastRowLastColumn="0"/>
              <w:rPr>
                <w:rFonts w:cs="Arial"/>
                <w:szCs w:val="24"/>
              </w:rPr>
            </w:pPr>
            <w:r w:rsidRPr="00114524">
              <w:rPr>
                <w:rFonts w:cs="Arial"/>
                <w:szCs w:val="24"/>
              </w:rPr>
              <w:t>2.2</w:t>
            </w:r>
          </w:p>
        </w:tc>
        <w:tc>
          <w:tcPr>
            <w:tcW w:w="1559" w:type="dxa"/>
            <w:shd w:val="clear" w:color="auto" w:fill="auto"/>
            <w:vAlign w:val="center"/>
          </w:tcPr>
          <w:p w:rsidR="00CE58F0" w:rsidRPr="00114524" w:rsidRDefault="00CE58F0" w:rsidP="00413B8D">
            <w:pPr>
              <w:jc w:val="right"/>
              <w:cnfStyle w:val="100000000000" w:firstRow="1" w:lastRow="0" w:firstColumn="0" w:lastColumn="0" w:oddVBand="0" w:evenVBand="0" w:oddHBand="0" w:evenHBand="0" w:firstRowFirstColumn="0" w:firstRowLastColumn="0" w:lastRowFirstColumn="0" w:lastRowLastColumn="0"/>
              <w:rPr>
                <w:rFonts w:cs="Arial"/>
                <w:szCs w:val="24"/>
              </w:rPr>
            </w:pPr>
            <w:r w:rsidRPr="00114524">
              <w:rPr>
                <w:rFonts w:cs="Arial"/>
                <w:szCs w:val="24"/>
              </w:rPr>
              <w:t>-2.3</w:t>
            </w:r>
          </w:p>
        </w:tc>
      </w:tr>
      <w:tr w:rsidR="00CE58F0" w:rsidTr="003F1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CE58F0" w:rsidRPr="00114524" w:rsidRDefault="00CE58F0" w:rsidP="00413B8D">
            <w:pPr>
              <w:rPr>
                <w:rFonts w:cs="Arial"/>
                <w:b w:val="0"/>
                <w:szCs w:val="24"/>
              </w:rPr>
            </w:pPr>
            <w:r w:rsidRPr="00114524">
              <w:rPr>
                <w:rFonts w:cs="Arial"/>
                <w:b w:val="0"/>
                <w:szCs w:val="24"/>
              </w:rPr>
              <w:t>one to six months</w:t>
            </w:r>
          </w:p>
        </w:tc>
        <w:tc>
          <w:tcPr>
            <w:tcW w:w="1275"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USD</w:t>
            </w:r>
          </w:p>
        </w:tc>
        <w:tc>
          <w:tcPr>
            <w:tcW w:w="106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30.5</w:t>
            </w:r>
          </w:p>
        </w:tc>
        <w:tc>
          <w:tcPr>
            <w:tcW w:w="1526"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CHF</w:t>
            </w:r>
          </w:p>
        </w:tc>
        <w:tc>
          <w:tcPr>
            <w:tcW w:w="1375"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-26.6</w:t>
            </w:r>
          </w:p>
        </w:tc>
        <w:tc>
          <w:tcPr>
            <w:tcW w:w="141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18.3</w:t>
            </w:r>
          </w:p>
        </w:tc>
        <w:tc>
          <w:tcPr>
            <w:tcW w:w="1559"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-18.1</w:t>
            </w:r>
          </w:p>
        </w:tc>
      </w:tr>
      <w:tr w:rsidR="00CE58F0" w:rsidTr="003F1D86">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CE58F0" w:rsidRPr="00114524" w:rsidRDefault="00CE58F0" w:rsidP="00413B8D">
            <w:pPr>
              <w:rPr>
                <w:rFonts w:cs="Arial"/>
                <w:b w:val="0"/>
                <w:szCs w:val="24"/>
              </w:rPr>
            </w:pPr>
            <w:r w:rsidRPr="00114524">
              <w:rPr>
                <w:rFonts w:cs="Arial"/>
                <w:b w:val="0"/>
                <w:szCs w:val="24"/>
              </w:rPr>
              <w:t>up to one month</w:t>
            </w:r>
          </w:p>
        </w:tc>
        <w:tc>
          <w:tcPr>
            <w:tcW w:w="1275"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GBP</w:t>
            </w:r>
          </w:p>
        </w:tc>
        <w:tc>
          <w:tcPr>
            <w:tcW w:w="106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0.1</w:t>
            </w:r>
          </w:p>
        </w:tc>
        <w:tc>
          <w:tcPr>
            <w:tcW w:w="1526"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USD</w:t>
            </w:r>
          </w:p>
        </w:tc>
        <w:tc>
          <w:tcPr>
            <w:tcW w:w="1375"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-0.1</w:t>
            </w:r>
          </w:p>
        </w:tc>
        <w:tc>
          <w:tcPr>
            <w:tcW w:w="141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0.1</w:t>
            </w:r>
          </w:p>
        </w:tc>
        <w:tc>
          <w:tcPr>
            <w:tcW w:w="1559"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-0.1</w:t>
            </w:r>
          </w:p>
        </w:tc>
      </w:tr>
      <w:tr w:rsidR="00CE58F0" w:rsidTr="003F1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CE58F0" w:rsidRPr="00114524" w:rsidRDefault="00CE58F0" w:rsidP="00413B8D">
            <w:pPr>
              <w:rPr>
                <w:rFonts w:cs="Arial"/>
                <w:b w:val="0"/>
                <w:szCs w:val="24"/>
              </w:rPr>
            </w:pPr>
            <w:r w:rsidRPr="00114524">
              <w:rPr>
                <w:rFonts w:cs="Arial"/>
                <w:b w:val="0"/>
                <w:szCs w:val="24"/>
              </w:rPr>
              <w:t>up to one month</w:t>
            </w:r>
          </w:p>
        </w:tc>
        <w:tc>
          <w:tcPr>
            <w:tcW w:w="1275"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JPY</w:t>
            </w:r>
          </w:p>
        </w:tc>
        <w:tc>
          <w:tcPr>
            <w:tcW w:w="106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17.0</w:t>
            </w:r>
          </w:p>
        </w:tc>
        <w:tc>
          <w:tcPr>
            <w:tcW w:w="1526"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GBP</w:t>
            </w:r>
          </w:p>
        </w:tc>
        <w:tc>
          <w:tcPr>
            <w:tcW w:w="1375"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-0.1</w:t>
            </w:r>
          </w:p>
        </w:tc>
        <w:tc>
          <w:tcPr>
            <w:tcW w:w="141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0.1</w:t>
            </w:r>
          </w:p>
        </w:tc>
        <w:tc>
          <w:tcPr>
            <w:tcW w:w="1559"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-0.1</w:t>
            </w:r>
          </w:p>
        </w:tc>
      </w:tr>
      <w:tr w:rsidR="00CE58F0" w:rsidTr="003F1D86">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CE58F0" w:rsidRPr="00114524" w:rsidRDefault="00CE58F0" w:rsidP="00413B8D">
            <w:pPr>
              <w:rPr>
                <w:rFonts w:cs="Arial"/>
                <w:b w:val="0"/>
                <w:szCs w:val="24"/>
              </w:rPr>
            </w:pPr>
            <w:r w:rsidRPr="00114524">
              <w:rPr>
                <w:rFonts w:cs="Arial"/>
                <w:b w:val="0"/>
                <w:szCs w:val="24"/>
              </w:rPr>
              <w:t>up to one moth</w:t>
            </w:r>
          </w:p>
        </w:tc>
        <w:tc>
          <w:tcPr>
            <w:tcW w:w="1275"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USD</w:t>
            </w:r>
          </w:p>
        </w:tc>
        <w:tc>
          <w:tcPr>
            <w:tcW w:w="106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0.4</w:t>
            </w:r>
          </w:p>
        </w:tc>
        <w:tc>
          <w:tcPr>
            <w:tcW w:w="1526"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EUR</w:t>
            </w:r>
          </w:p>
        </w:tc>
        <w:tc>
          <w:tcPr>
            <w:tcW w:w="1375"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-0.3</w:t>
            </w:r>
          </w:p>
        </w:tc>
        <w:tc>
          <w:tcPr>
            <w:tcW w:w="141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0.3</w:t>
            </w:r>
          </w:p>
        </w:tc>
        <w:tc>
          <w:tcPr>
            <w:tcW w:w="1559"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-0.3</w:t>
            </w:r>
          </w:p>
        </w:tc>
      </w:tr>
      <w:tr w:rsidR="00CE58F0" w:rsidTr="003F1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CE58F0" w:rsidRPr="00114524" w:rsidRDefault="00CE58F0" w:rsidP="00413B8D">
            <w:pPr>
              <w:rPr>
                <w:rFonts w:cs="Arial"/>
                <w:b w:val="0"/>
                <w:szCs w:val="24"/>
              </w:rPr>
            </w:pPr>
            <w:r w:rsidRPr="00114524">
              <w:rPr>
                <w:rFonts w:cs="Arial"/>
                <w:b w:val="0"/>
                <w:szCs w:val="24"/>
              </w:rPr>
              <w:t>up to one month</w:t>
            </w:r>
          </w:p>
        </w:tc>
        <w:tc>
          <w:tcPr>
            <w:tcW w:w="1275"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USD</w:t>
            </w:r>
          </w:p>
        </w:tc>
        <w:tc>
          <w:tcPr>
            <w:tcW w:w="106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0.7</w:t>
            </w:r>
          </w:p>
        </w:tc>
        <w:tc>
          <w:tcPr>
            <w:tcW w:w="1526"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JPY</w:t>
            </w:r>
          </w:p>
        </w:tc>
        <w:tc>
          <w:tcPr>
            <w:tcW w:w="1375"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-70.1</w:t>
            </w:r>
          </w:p>
        </w:tc>
        <w:tc>
          <w:tcPr>
            <w:tcW w:w="141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0.4</w:t>
            </w:r>
          </w:p>
        </w:tc>
        <w:tc>
          <w:tcPr>
            <w:tcW w:w="1559"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-0.4</w:t>
            </w:r>
          </w:p>
        </w:tc>
      </w:tr>
      <w:tr w:rsidR="00CE58F0" w:rsidTr="003F1D86">
        <w:trPr>
          <w:trHeight w:val="97"/>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b w:val="0"/>
                <w:szCs w:val="24"/>
              </w:rPr>
            </w:pPr>
          </w:p>
        </w:tc>
        <w:tc>
          <w:tcPr>
            <w:tcW w:w="141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559"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p>
        </w:tc>
      </w:tr>
      <w:tr w:rsidR="00CE58F0" w:rsidTr="003F1D8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szCs w:val="24"/>
              </w:rPr>
            </w:pPr>
            <w:r w:rsidRPr="00114524">
              <w:rPr>
                <w:rFonts w:cs="Arial"/>
                <w:b w:val="0"/>
                <w:szCs w:val="24"/>
              </w:rPr>
              <w:t>Open forward currency contracts at 31 March 2014</w:t>
            </w:r>
          </w:p>
        </w:tc>
        <w:tc>
          <w:tcPr>
            <w:tcW w:w="141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21.4</w:t>
            </w:r>
          </w:p>
        </w:tc>
        <w:tc>
          <w:tcPr>
            <w:tcW w:w="1559"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-21.3</w:t>
            </w:r>
          </w:p>
        </w:tc>
      </w:tr>
      <w:tr w:rsidR="00CE58F0" w:rsidTr="003F1D86">
        <w:trPr>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szCs w:val="24"/>
              </w:rPr>
            </w:pPr>
            <w:r w:rsidRPr="00114524">
              <w:rPr>
                <w:rFonts w:cs="Arial"/>
                <w:b w:val="0"/>
                <w:szCs w:val="24"/>
              </w:rPr>
              <w:t>Net forward currency contracts at 31 March 2014</w:t>
            </w:r>
          </w:p>
        </w:tc>
        <w:tc>
          <w:tcPr>
            <w:tcW w:w="141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559"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0.1</w:t>
            </w:r>
          </w:p>
        </w:tc>
      </w:tr>
      <w:tr w:rsidR="00CE58F0" w:rsidTr="003F1D8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szCs w:val="24"/>
              </w:rPr>
            </w:pPr>
          </w:p>
        </w:tc>
        <w:tc>
          <w:tcPr>
            <w:tcW w:w="141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559"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p>
        </w:tc>
      </w:tr>
      <w:tr w:rsidR="00CE58F0" w:rsidTr="003F1D86">
        <w:trPr>
          <w:trHeight w:val="320"/>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szCs w:val="24"/>
              </w:rPr>
            </w:pPr>
            <w:r w:rsidRPr="00114524">
              <w:rPr>
                <w:rFonts w:cs="Arial"/>
                <w:szCs w:val="24"/>
              </w:rPr>
              <w:t>Prior year comparative</w:t>
            </w:r>
          </w:p>
        </w:tc>
        <w:tc>
          <w:tcPr>
            <w:tcW w:w="141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559"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p>
        </w:tc>
      </w:tr>
      <w:tr w:rsidR="00CE58F0" w:rsidTr="003F1D8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szCs w:val="24"/>
              </w:rPr>
            </w:pPr>
            <w:r w:rsidRPr="00114524">
              <w:rPr>
                <w:rFonts w:cs="Arial"/>
                <w:b w:val="0"/>
                <w:szCs w:val="24"/>
              </w:rPr>
              <w:t>Open forward currency contracts at 31 March 2013</w:t>
            </w:r>
          </w:p>
        </w:tc>
        <w:tc>
          <w:tcPr>
            <w:tcW w:w="1418"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121.3</w:t>
            </w:r>
          </w:p>
        </w:tc>
        <w:tc>
          <w:tcPr>
            <w:tcW w:w="1559" w:type="dxa"/>
            <w:shd w:val="clear" w:color="auto" w:fill="auto"/>
            <w:vAlign w:val="center"/>
          </w:tcPr>
          <w:p w:rsidR="00CE58F0" w:rsidRPr="00114524" w:rsidRDefault="00CE58F0" w:rsidP="00413B8D">
            <w:pPr>
              <w:jc w:val="right"/>
              <w:cnfStyle w:val="000000100000" w:firstRow="0" w:lastRow="0" w:firstColumn="0" w:lastColumn="0" w:oddVBand="0" w:evenVBand="0" w:oddHBand="1" w:evenHBand="0" w:firstRowFirstColumn="0" w:firstRowLastColumn="0" w:lastRowFirstColumn="0" w:lastRowLastColumn="0"/>
              <w:rPr>
                <w:rFonts w:cs="Arial"/>
                <w:szCs w:val="24"/>
              </w:rPr>
            </w:pPr>
            <w:r w:rsidRPr="00114524">
              <w:rPr>
                <w:rFonts w:cs="Arial"/>
                <w:szCs w:val="24"/>
              </w:rPr>
              <w:t>-118.4</w:t>
            </w:r>
          </w:p>
        </w:tc>
      </w:tr>
      <w:tr w:rsidR="00CE58F0" w:rsidTr="003F1D86">
        <w:trPr>
          <w:trHeight w:val="415"/>
        </w:trPr>
        <w:tc>
          <w:tcPr>
            <w:cnfStyle w:val="001000000000" w:firstRow="0" w:lastRow="0" w:firstColumn="1" w:lastColumn="0" w:oddVBand="0" w:evenVBand="0" w:oddHBand="0" w:evenHBand="0" w:firstRowFirstColumn="0" w:firstRowLastColumn="0" w:lastRowFirstColumn="0" w:lastRowLastColumn="0"/>
            <w:tcW w:w="6803" w:type="dxa"/>
            <w:gridSpan w:val="5"/>
            <w:shd w:val="clear" w:color="auto" w:fill="auto"/>
            <w:vAlign w:val="center"/>
          </w:tcPr>
          <w:p w:rsidR="00CE58F0" w:rsidRPr="00114524" w:rsidRDefault="00CE58F0" w:rsidP="00413B8D">
            <w:pPr>
              <w:rPr>
                <w:rFonts w:cs="Arial"/>
                <w:szCs w:val="24"/>
              </w:rPr>
            </w:pPr>
            <w:r>
              <w:rPr>
                <w:rFonts w:cs="Arial"/>
                <w:b w:val="0"/>
                <w:szCs w:val="24"/>
              </w:rPr>
              <w:t>N</w:t>
            </w:r>
            <w:r w:rsidRPr="00114524">
              <w:rPr>
                <w:rFonts w:cs="Arial"/>
                <w:b w:val="0"/>
                <w:szCs w:val="24"/>
              </w:rPr>
              <w:t>et forward currency contracts at 31 March 2013</w:t>
            </w:r>
          </w:p>
        </w:tc>
        <w:tc>
          <w:tcPr>
            <w:tcW w:w="1418"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559" w:type="dxa"/>
            <w:shd w:val="clear" w:color="auto" w:fill="auto"/>
            <w:vAlign w:val="center"/>
          </w:tcPr>
          <w:p w:rsidR="00CE58F0" w:rsidRPr="00114524" w:rsidRDefault="00CE58F0" w:rsidP="00413B8D">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114524">
              <w:rPr>
                <w:rFonts w:cs="Arial"/>
                <w:szCs w:val="24"/>
              </w:rPr>
              <w:t>2.9</w:t>
            </w:r>
          </w:p>
        </w:tc>
      </w:tr>
    </w:tbl>
    <w:p w:rsidR="00CE58F0" w:rsidRDefault="00CE58F0" w:rsidP="00CE58F0">
      <w:pPr>
        <w:ind w:left="720"/>
        <w:rPr>
          <w:szCs w:val="24"/>
        </w:rPr>
      </w:pPr>
    </w:p>
    <w:p w:rsidR="00CE58F0" w:rsidRDefault="00CE58F0" w:rsidP="00CE58F0">
      <w:pPr>
        <w:spacing w:after="240"/>
        <w:ind w:left="720"/>
        <w:rPr>
          <w:szCs w:val="24"/>
        </w:rPr>
      </w:pPr>
      <w:r>
        <w:rPr>
          <w:szCs w:val="24"/>
        </w:rPr>
        <w:t>F</w:t>
      </w:r>
      <w:r w:rsidRPr="00166665">
        <w:rPr>
          <w:szCs w:val="24"/>
        </w:rPr>
        <w:t>orward Foreign currency contracts are used to hedge against</w:t>
      </w:r>
      <w:r>
        <w:rPr>
          <w:szCs w:val="24"/>
        </w:rPr>
        <w:t xml:space="preserve"> </w:t>
      </w:r>
      <w:r w:rsidRPr="00166665">
        <w:rPr>
          <w:szCs w:val="24"/>
        </w:rPr>
        <w:t>foreign currency movements.</w:t>
      </w:r>
    </w:p>
    <w:p w:rsidR="003F1D86" w:rsidRDefault="003F1D86" w:rsidP="00CE58F0">
      <w:pPr>
        <w:spacing w:after="240"/>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7A07AD" w:rsidTr="00413B8D">
        <w:tc>
          <w:tcPr>
            <w:tcW w:w="5058" w:type="dxa"/>
          </w:tcPr>
          <w:p w:rsidR="00CE58F0" w:rsidRPr="00AA58CA" w:rsidRDefault="00CE58F0" w:rsidP="00413B8D">
            <w:pPr>
              <w:rPr>
                <w:b/>
                <w:szCs w:val="24"/>
              </w:rPr>
            </w:pPr>
            <w:r w:rsidRPr="00AA58CA">
              <w:rPr>
                <w:b/>
                <w:szCs w:val="24"/>
              </w:rPr>
              <w:t>Cash Deposits</w:t>
            </w:r>
          </w:p>
        </w:tc>
        <w:tc>
          <w:tcPr>
            <w:tcW w:w="1559" w:type="dxa"/>
          </w:tcPr>
          <w:p w:rsidR="00CE58F0" w:rsidRPr="007A07AD" w:rsidRDefault="00CE58F0" w:rsidP="00413B8D">
            <w:pPr>
              <w:jc w:val="right"/>
              <w:rPr>
                <w:szCs w:val="24"/>
              </w:rPr>
            </w:pP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p>
        </w:tc>
      </w:tr>
      <w:tr w:rsidR="00CE58F0" w:rsidRPr="007A07AD" w:rsidTr="00413B8D">
        <w:tc>
          <w:tcPr>
            <w:tcW w:w="5058" w:type="dxa"/>
          </w:tcPr>
          <w:p w:rsidR="00CE58F0" w:rsidRDefault="00CE58F0" w:rsidP="00413B8D">
            <w:pPr>
              <w:rPr>
                <w:szCs w:val="24"/>
              </w:rPr>
            </w:pPr>
            <w:r>
              <w:rPr>
                <w:szCs w:val="24"/>
              </w:rPr>
              <w:t>Sterling</w:t>
            </w:r>
          </w:p>
        </w:tc>
        <w:tc>
          <w:tcPr>
            <w:tcW w:w="1559" w:type="dxa"/>
          </w:tcPr>
          <w:p w:rsidR="00CE58F0" w:rsidRPr="007A07AD" w:rsidRDefault="00CE58F0" w:rsidP="00413B8D">
            <w:pPr>
              <w:jc w:val="right"/>
              <w:rPr>
                <w:szCs w:val="24"/>
              </w:rPr>
            </w:pPr>
            <w:r>
              <w:rPr>
                <w:szCs w:val="24"/>
              </w:rPr>
              <w:t>148.0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116.6</w:t>
            </w:r>
          </w:p>
        </w:tc>
      </w:tr>
      <w:tr w:rsidR="00CE58F0" w:rsidRPr="007A07AD" w:rsidTr="00413B8D">
        <w:tc>
          <w:tcPr>
            <w:tcW w:w="5058" w:type="dxa"/>
          </w:tcPr>
          <w:p w:rsidR="00CE58F0" w:rsidRDefault="00CE58F0" w:rsidP="00413B8D">
            <w:pPr>
              <w:rPr>
                <w:szCs w:val="24"/>
              </w:rPr>
            </w:pPr>
            <w:r>
              <w:rPr>
                <w:szCs w:val="24"/>
              </w:rPr>
              <w:t>Foreign currency</w:t>
            </w:r>
          </w:p>
        </w:tc>
        <w:tc>
          <w:tcPr>
            <w:tcW w:w="1559" w:type="dxa"/>
            <w:tcBorders>
              <w:bottom w:val="single" w:sz="18" w:space="0" w:color="auto"/>
            </w:tcBorders>
          </w:tcPr>
          <w:p w:rsidR="00CE58F0" w:rsidRPr="007A07AD" w:rsidRDefault="00CE58F0" w:rsidP="00413B8D">
            <w:pPr>
              <w:jc w:val="right"/>
              <w:rPr>
                <w:szCs w:val="24"/>
              </w:rPr>
            </w:pPr>
            <w:r>
              <w:rPr>
                <w:szCs w:val="24"/>
              </w:rPr>
              <w:t>167.5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53.9</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315.5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170.5</w:t>
            </w:r>
          </w:p>
        </w:tc>
      </w:tr>
    </w:tbl>
    <w:p w:rsidR="00CE58F0" w:rsidRDefault="00CE58F0" w:rsidP="00CE58F0">
      <w:pPr>
        <w:pStyle w:val="ListParagraph"/>
        <w:spacing w:after="120"/>
        <w:jc w:val="both"/>
        <w:rPr>
          <w:b/>
        </w:rPr>
      </w:pPr>
    </w:p>
    <w:p w:rsidR="00CE58F0" w:rsidRDefault="00CE58F0" w:rsidP="00CE58F0">
      <w:pPr>
        <w:pStyle w:val="ListParagraph"/>
        <w:spacing w:after="120"/>
        <w:jc w:val="both"/>
        <w:rPr>
          <w:b/>
        </w:rPr>
      </w:pPr>
    </w:p>
    <w:p w:rsidR="00CE58F0" w:rsidRPr="007413EA" w:rsidRDefault="00CE58F0" w:rsidP="00CE58F0">
      <w:pPr>
        <w:pStyle w:val="ListParagraph"/>
        <w:numPr>
          <w:ilvl w:val="0"/>
          <w:numId w:val="2"/>
        </w:numPr>
        <w:tabs>
          <w:tab w:val="clear" w:pos="720"/>
          <w:tab w:val="num" w:pos="862"/>
        </w:tabs>
        <w:spacing w:after="120"/>
        <w:ind w:left="862"/>
        <w:jc w:val="both"/>
        <w:rPr>
          <w:b/>
        </w:rPr>
      </w:pPr>
      <w:r w:rsidRPr="007413EA">
        <w:rPr>
          <w:b/>
        </w:rPr>
        <w:t>Financial Instruments classification</w:t>
      </w:r>
    </w:p>
    <w:p w:rsidR="00CE58F0" w:rsidRDefault="00CE58F0" w:rsidP="00CE58F0">
      <w:pPr>
        <w:pStyle w:val="ListParagraph"/>
        <w:spacing w:after="120"/>
        <w:jc w:val="both"/>
        <w:rPr>
          <w:b/>
        </w:rPr>
      </w:pPr>
    </w:p>
    <w:p w:rsidR="008A28A2" w:rsidRDefault="00CE58F0" w:rsidP="00CE58F0">
      <w:pPr>
        <w:pStyle w:val="ListParagraph"/>
        <w:rPr>
          <w:sz w:val="20"/>
        </w:rPr>
      </w:pPr>
      <w:r w:rsidRPr="00AA58CA">
        <w:t>Accounting policy describes how different asset classes of financial instruments are measured, and how income and expenses, including fair value gains and losses are recognised.  The following table analyses the carrying amounts of financial assets and liabilities by category and net asset statement heading.</w:t>
      </w:r>
      <w:r w:rsidRPr="00AA58CA">
        <w:rPr>
          <w:sz w:val="20"/>
        </w:rPr>
        <w:t xml:space="preserve"> </w:t>
      </w:r>
    </w:p>
    <w:tbl>
      <w:tblPr>
        <w:tblStyle w:val="TableGrid"/>
        <w:tblW w:w="1074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1017"/>
        <w:gridCol w:w="1343"/>
        <w:gridCol w:w="817"/>
        <w:gridCol w:w="1405"/>
        <w:gridCol w:w="550"/>
        <w:gridCol w:w="1270"/>
        <w:gridCol w:w="550"/>
      </w:tblGrid>
      <w:tr w:rsidR="00CE58F0" w:rsidTr="00413B8D">
        <w:trPr>
          <w:gridAfter w:val="1"/>
          <w:wAfter w:w="550" w:type="dxa"/>
        </w:trPr>
        <w:tc>
          <w:tcPr>
            <w:tcW w:w="3797" w:type="dxa"/>
          </w:tcPr>
          <w:p w:rsidR="00CE58F0" w:rsidRDefault="00CE58F0" w:rsidP="00413B8D">
            <w:pPr>
              <w:rPr>
                <w:b/>
              </w:rPr>
            </w:pPr>
            <w:r>
              <w:rPr>
                <w:b/>
              </w:rPr>
              <w:t>31/03/14</w:t>
            </w:r>
          </w:p>
        </w:tc>
        <w:tc>
          <w:tcPr>
            <w:tcW w:w="2360" w:type="dxa"/>
            <w:gridSpan w:val="2"/>
          </w:tcPr>
          <w:p w:rsidR="00CE58F0" w:rsidRDefault="00CE58F0" w:rsidP="00413B8D">
            <w:pPr>
              <w:spacing w:after="120"/>
              <w:jc w:val="right"/>
              <w:rPr>
                <w:b/>
              </w:rPr>
            </w:pPr>
            <w:r>
              <w:rPr>
                <w:b/>
              </w:rPr>
              <w:t>Designated at fair value through profit or loss</w:t>
            </w:r>
          </w:p>
        </w:tc>
        <w:tc>
          <w:tcPr>
            <w:tcW w:w="2222" w:type="dxa"/>
            <w:gridSpan w:val="2"/>
          </w:tcPr>
          <w:p w:rsidR="00CE58F0" w:rsidRDefault="00CE58F0" w:rsidP="00413B8D">
            <w:pPr>
              <w:jc w:val="right"/>
              <w:rPr>
                <w:b/>
              </w:rPr>
            </w:pPr>
            <w:r>
              <w:rPr>
                <w:b/>
              </w:rPr>
              <w:t>Loans and receivables</w:t>
            </w:r>
          </w:p>
        </w:tc>
        <w:tc>
          <w:tcPr>
            <w:tcW w:w="1820" w:type="dxa"/>
            <w:gridSpan w:val="2"/>
          </w:tcPr>
          <w:p w:rsidR="00CE58F0" w:rsidRDefault="00CE58F0" w:rsidP="00413B8D">
            <w:pPr>
              <w:jc w:val="right"/>
              <w:rPr>
                <w:b/>
              </w:rPr>
            </w:pPr>
            <w:r>
              <w:rPr>
                <w:b/>
              </w:rPr>
              <w:t>Financial liabilities at amortised cost</w:t>
            </w:r>
          </w:p>
        </w:tc>
      </w:tr>
      <w:tr w:rsidR="00CE58F0" w:rsidTr="00413B8D">
        <w:trPr>
          <w:gridAfter w:val="1"/>
          <w:wAfter w:w="550" w:type="dxa"/>
        </w:trPr>
        <w:tc>
          <w:tcPr>
            <w:tcW w:w="3797" w:type="dxa"/>
          </w:tcPr>
          <w:p w:rsidR="00CE58F0" w:rsidRDefault="00CE58F0" w:rsidP="00413B8D">
            <w:pPr>
              <w:jc w:val="both"/>
              <w:rPr>
                <w:b/>
              </w:rPr>
            </w:pPr>
          </w:p>
        </w:tc>
        <w:tc>
          <w:tcPr>
            <w:tcW w:w="2360" w:type="dxa"/>
            <w:gridSpan w:val="2"/>
          </w:tcPr>
          <w:p w:rsidR="00CE58F0" w:rsidRDefault="00CE58F0" w:rsidP="00413B8D">
            <w:pPr>
              <w:jc w:val="right"/>
              <w:rPr>
                <w:b/>
              </w:rPr>
            </w:pPr>
            <w:r>
              <w:rPr>
                <w:b/>
              </w:rPr>
              <w:t>£m</w:t>
            </w:r>
          </w:p>
        </w:tc>
        <w:tc>
          <w:tcPr>
            <w:tcW w:w="2222" w:type="dxa"/>
            <w:gridSpan w:val="2"/>
          </w:tcPr>
          <w:p w:rsidR="00CE58F0" w:rsidRDefault="00CE58F0" w:rsidP="00413B8D">
            <w:pPr>
              <w:jc w:val="right"/>
              <w:rPr>
                <w:b/>
              </w:rPr>
            </w:pPr>
            <w:r>
              <w:rPr>
                <w:b/>
              </w:rPr>
              <w:t>£m</w:t>
            </w:r>
          </w:p>
        </w:tc>
        <w:tc>
          <w:tcPr>
            <w:tcW w:w="1820" w:type="dxa"/>
            <w:gridSpan w:val="2"/>
          </w:tcPr>
          <w:p w:rsidR="00CE58F0" w:rsidRDefault="00CE58F0" w:rsidP="00413B8D">
            <w:pPr>
              <w:jc w:val="right"/>
              <w:rPr>
                <w:b/>
              </w:rPr>
            </w:pPr>
            <w:r>
              <w:rPr>
                <w:b/>
              </w:rPr>
              <w:t>£m</w:t>
            </w:r>
          </w:p>
        </w:tc>
      </w:tr>
      <w:tr w:rsidR="00CE58F0" w:rsidRPr="00AA58CA" w:rsidTr="00413B8D">
        <w:trPr>
          <w:gridAfter w:val="1"/>
          <w:wAfter w:w="550" w:type="dxa"/>
        </w:trPr>
        <w:tc>
          <w:tcPr>
            <w:tcW w:w="3797" w:type="dxa"/>
          </w:tcPr>
          <w:p w:rsidR="00CE58F0" w:rsidRPr="00EB2694" w:rsidRDefault="00CE58F0" w:rsidP="00413B8D">
            <w:pPr>
              <w:jc w:val="both"/>
              <w:rPr>
                <w:b/>
              </w:rPr>
            </w:pPr>
            <w:r w:rsidRPr="00EB2694">
              <w:rPr>
                <w:b/>
              </w:rPr>
              <w:t>Financial assets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p>
        </w:tc>
      </w:tr>
      <w:tr w:rsidR="00CE58F0" w:rsidRPr="00AA58CA" w:rsidTr="00413B8D">
        <w:trPr>
          <w:gridAfter w:val="1"/>
          <w:wAfter w:w="550" w:type="dxa"/>
        </w:trPr>
        <w:tc>
          <w:tcPr>
            <w:tcW w:w="3797" w:type="dxa"/>
          </w:tcPr>
          <w:p w:rsidR="00CE58F0" w:rsidRDefault="00CE58F0" w:rsidP="00413B8D">
            <w:pPr>
              <w:jc w:val="both"/>
            </w:pPr>
            <w:r>
              <w:t>Fixed interest securities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233.0</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t>Equities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1,921.1</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lastRenderedPageBreak/>
              <w:t>Pooled investment vehicles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1,661.4</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t>Pooled property investments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25.1</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Default="00CE58F0" w:rsidP="00413B8D">
            <w:pPr>
              <w:jc w:val="right"/>
            </w:pP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Default="00CE58F0" w:rsidP="00413B8D">
            <w:pPr>
              <w:jc w:val="right"/>
            </w:pPr>
          </w:p>
        </w:tc>
      </w:tr>
      <w:tr w:rsidR="00CE58F0" w:rsidRPr="00AA58CA" w:rsidTr="00413B8D">
        <w:trPr>
          <w:gridAfter w:val="1"/>
          <w:wAfter w:w="550" w:type="dxa"/>
        </w:trPr>
        <w:tc>
          <w:tcPr>
            <w:tcW w:w="3797" w:type="dxa"/>
          </w:tcPr>
          <w:p w:rsidR="00CE58F0" w:rsidRDefault="00CE58F0" w:rsidP="00413B8D">
            <w:pPr>
              <w:jc w:val="both"/>
            </w:pPr>
            <w:r>
              <w:t>Venture Capital</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552.4</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Default="00CE58F0" w:rsidP="00413B8D">
            <w:pPr>
              <w:jc w:val="right"/>
            </w:pP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Default="00CE58F0" w:rsidP="00413B8D">
            <w:pPr>
              <w:jc w:val="right"/>
            </w:pPr>
          </w:p>
        </w:tc>
      </w:tr>
      <w:tr w:rsidR="00CE58F0" w:rsidRPr="00AA58CA" w:rsidTr="00413B8D">
        <w:trPr>
          <w:gridAfter w:val="1"/>
          <w:wAfter w:w="550" w:type="dxa"/>
        </w:trPr>
        <w:tc>
          <w:tcPr>
            <w:tcW w:w="3797" w:type="dxa"/>
          </w:tcPr>
          <w:p w:rsidR="00CE58F0" w:rsidRDefault="00CE58F0" w:rsidP="00413B8D">
            <w:pPr>
              <w:jc w:val="both"/>
            </w:pPr>
            <w:r>
              <w:t>Derivative Contracts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Default="00CE58F0" w:rsidP="00413B8D">
            <w:pPr>
              <w:jc w:val="right"/>
            </w:pPr>
            <w:r>
              <w:t>21.4</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Default="00CE58F0" w:rsidP="00413B8D">
            <w:pPr>
              <w:jc w:val="right"/>
            </w:pP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Default="00CE58F0" w:rsidP="00413B8D">
            <w:pPr>
              <w:jc w:val="right"/>
            </w:pPr>
          </w:p>
        </w:tc>
      </w:tr>
      <w:tr w:rsidR="00CE58F0" w:rsidRPr="00AA58CA" w:rsidTr="00413B8D">
        <w:trPr>
          <w:gridAfter w:val="1"/>
          <w:wAfter w:w="550" w:type="dxa"/>
        </w:trPr>
        <w:tc>
          <w:tcPr>
            <w:tcW w:w="3797" w:type="dxa"/>
          </w:tcPr>
          <w:p w:rsidR="00CE58F0" w:rsidRDefault="00CE58F0" w:rsidP="00413B8D">
            <w:pPr>
              <w:jc w:val="both"/>
            </w:pPr>
            <w:r>
              <w:t>Cash deposits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315.5</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t>Investment accruals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12.4</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t>Debtors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28.3</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rsidRPr="00EB2694">
              <w:rPr>
                <w:b/>
              </w:rPr>
              <w:t>Total Financial Assets</w:t>
            </w:r>
          </w:p>
        </w:tc>
        <w:tc>
          <w:tcPr>
            <w:tcW w:w="1017" w:type="dxa"/>
            <w:tcBorders>
              <w:right w:val="single" w:sz="18" w:space="0" w:color="FFFFFF" w:themeColor="background1"/>
            </w:tcBorders>
          </w:tcPr>
          <w:p w:rsidR="00CE58F0" w:rsidRPr="00B736A4" w:rsidRDefault="00CE58F0" w:rsidP="00413B8D">
            <w:pPr>
              <w:jc w:val="right"/>
              <w:rPr>
                <w:b/>
              </w:rPr>
            </w:pPr>
          </w:p>
        </w:tc>
        <w:tc>
          <w:tcPr>
            <w:tcW w:w="1343" w:type="dxa"/>
            <w:tcBorders>
              <w:left w:val="single" w:sz="18" w:space="0" w:color="FFFFFF" w:themeColor="background1"/>
            </w:tcBorders>
          </w:tcPr>
          <w:p w:rsidR="00CE58F0" w:rsidRPr="00B736A4" w:rsidRDefault="00CE58F0" w:rsidP="00413B8D">
            <w:pPr>
              <w:jc w:val="right"/>
              <w:rPr>
                <w:b/>
              </w:rPr>
            </w:pPr>
            <w:r>
              <w:rPr>
                <w:b/>
              </w:rPr>
              <w:t>4,426.8</w:t>
            </w:r>
          </w:p>
        </w:tc>
        <w:tc>
          <w:tcPr>
            <w:tcW w:w="817" w:type="dxa"/>
            <w:tcBorders>
              <w:right w:val="single" w:sz="18" w:space="0" w:color="FFFFFF" w:themeColor="background1"/>
            </w:tcBorders>
          </w:tcPr>
          <w:p w:rsidR="00CE58F0" w:rsidRPr="00B736A4" w:rsidRDefault="00CE58F0" w:rsidP="00413B8D">
            <w:pPr>
              <w:jc w:val="right"/>
              <w:rPr>
                <w:b/>
              </w:rPr>
            </w:pPr>
          </w:p>
        </w:tc>
        <w:tc>
          <w:tcPr>
            <w:tcW w:w="1405" w:type="dxa"/>
            <w:tcBorders>
              <w:left w:val="single" w:sz="18" w:space="0" w:color="FFFFFF" w:themeColor="background1"/>
            </w:tcBorders>
          </w:tcPr>
          <w:p w:rsidR="00CE58F0" w:rsidRPr="00B736A4" w:rsidRDefault="00CE58F0" w:rsidP="00413B8D">
            <w:pPr>
              <w:jc w:val="right"/>
              <w:rPr>
                <w:b/>
              </w:rPr>
            </w:pPr>
            <w:r>
              <w:rPr>
                <w:b/>
              </w:rPr>
              <w:t>343.8</w:t>
            </w:r>
          </w:p>
        </w:tc>
        <w:tc>
          <w:tcPr>
            <w:tcW w:w="550" w:type="dxa"/>
            <w:tcBorders>
              <w:right w:val="single" w:sz="18" w:space="0" w:color="FFFFFF" w:themeColor="background1"/>
            </w:tcBorders>
          </w:tcPr>
          <w:p w:rsidR="00CE58F0" w:rsidRPr="00B736A4" w:rsidRDefault="00CE58F0" w:rsidP="00413B8D">
            <w:pPr>
              <w:jc w:val="right"/>
              <w:rPr>
                <w:b/>
              </w:rPr>
            </w:pPr>
          </w:p>
        </w:tc>
        <w:tc>
          <w:tcPr>
            <w:tcW w:w="1270" w:type="dxa"/>
            <w:tcBorders>
              <w:left w:val="single" w:sz="18" w:space="0" w:color="FFFFFF" w:themeColor="background1"/>
            </w:tcBorders>
          </w:tcPr>
          <w:p w:rsidR="00CE58F0" w:rsidRPr="007413EA" w:rsidRDefault="00CE58F0" w:rsidP="00413B8D">
            <w:pPr>
              <w:jc w:val="right"/>
              <w:rPr>
                <w:b/>
              </w:rPr>
            </w:pPr>
            <w:r w:rsidRPr="007413EA">
              <w:rPr>
                <w:b/>
              </w:rPr>
              <w:t>-</w:t>
            </w:r>
          </w:p>
        </w:tc>
      </w:tr>
      <w:tr w:rsidR="00783C33" w:rsidRPr="00AA58CA" w:rsidTr="00413B8D">
        <w:trPr>
          <w:gridAfter w:val="1"/>
          <w:wAfter w:w="550" w:type="dxa"/>
        </w:trPr>
        <w:tc>
          <w:tcPr>
            <w:tcW w:w="3797" w:type="dxa"/>
          </w:tcPr>
          <w:p w:rsidR="00783C33" w:rsidRPr="00EB2694" w:rsidRDefault="00783C33" w:rsidP="00413B8D">
            <w:pPr>
              <w:jc w:val="both"/>
              <w:rPr>
                <w:b/>
              </w:rPr>
            </w:pPr>
          </w:p>
        </w:tc>
        <w:tc>
          <w:tcPr>
            <w:tcW w:w="1017" w:type="dxa"/>
            <w:tcBorders>
              <w:right w:val="single" w:sz="18" w:space="0" w:color="FFFFFF" w:themeColor="background1"/>
            </w:tcBorders>
          </w:tcPr>
          <w:p w:rsidR="00783C33" w:rsidRPr="00B736A4" w:rsidRDefault="00783C33" w:rsidP="00413B8D">
            <w:pPr>
              <w:jc w:val="right"/>
              <w:rPr>
                <w:b/>
              </w:rPr>
            </w:pPr>
          </w:p>
        </w:tc>
        <w:tc>
          <w:tcPr>
            <w:tcW w:w="1343" w:type="dxa"/>
            <w:tcBorders>
              <w:left w:val="single" w:sz="18" w:space="0" w:color="FFFFFF" w:themeColor="background1"/>
            </w:tcBorders>
          </w:tcPr>
          <w:p w:rsidR="00783C33" w:rsidRDefault="00783C33" w:rsidP="00413B8D">
            <w:pPr>
              <w:jc w:val="right"/>
              <w:rPr>
                <w:b/>
              </w:rPr>
            </w:pPr>
          </w:p>
        </w:tc>
        <w:tc>
          <w:tcPr>
            <w:tcW w:w="817" w:type="dxa"/>
            <w:tcBorders>
              <w:right w:val="single" w:sz="18" w:space="0" w:color="FFFFFF" w:themeColor="background1"/>
            </w:tcBorders>
          </w:tcPr>
          <w:p w:rsidR="00783C33" w:rsidRPr="00B736A4" w:rsidRDefault="00783C33" w:rsidP="00413B8D">
            <w:pPr>
              <w:jc w:val="right"/>
              <w:rPr>
                <w:b/>
              </w:rPr>
            </w:pPr>
          </w:p>
        </w:tc>
        <w:tc>
          <w:tcPr>
            <w:tcW w:w="1405" w:type="dxa"/>
            <w:tcBorders>
              <w:left w:val="single" w:sz="18" w:space="0" w:color="FFFFFF" w:themeColor="background1"/>
            </w:tcBorders>
          </w:tcPr>
          <w:p w:rsidR="00783C33" w:rsidRDefault="00783C33" w:rsidP="00413B8D">
            <w:pPr>
              <w:jc w:val="right"/>
              <w:rPr>
                <w:b/>
              </w:rPr>
            </w:pPr>
          </w:p>
        </w:tc>
        <w:tc>
          <w:tcPr>
            <w:tcW w:w="550" w:type="dxa"/>
            <w:tcBorders>
              <w:right w:val="single" w:sz="18" w:space="0" w:color="FFFFFF" w:themeColor="background1"/>
            </w:tcBorders>
          </w:tcPr>
          <w:p w:rsidR="00783C33" w:rsidRPr="00B736A4" w:rsidRDefault="00783C33" w:rsidP="00413B8D">
            <w:pPr>
              <w:jc w:val="right"/>
              <w:rPr>
                <w:b/>
              </w:rPr>
            </w:pPr>
          </w:p>
        </w:tc>
        <w:tc>
          <w:tcPr>
            <w:tcW w:w="1270" w:type="dxa"/>
            <w:tcBorders>
              <w:left w:val="single" w:sz="18" w:space="0" w:color="FFFFFF" w:themeColor="background1"/>
            </w:tcBorders>
          </w:tcPr>
          <w:p w:rsidR="00783C33" w:rsidRPr="007413EA" w:rsidRDefault="00783C33" w:rsidP="00413B8D">
            <w:pPr>
              <w:jc w:val="right"/>
              <w:rPr>
                <w:b/>
              </w:rPr>
            </w:pPr>
          </w:p>
        </w:tc>
      </w:tr>
      <w:tr w:rsidR="00CE58F0" w:rsidRPr="00AA58CA" w:rsidTr="00413B8D">
        <w:trPr>
          <w:gridAfter w:val="1"/>
          <w:wAfter w:w="550" w:type="dxa"/>
        </w:trPr>
        <w:tc>
          <w:tcPr>
            <w:tcW w:w="3797" w:type="dxa"/>
          </w:tcPr>
          <w:p w:rsidR="00CE58F0" w:rsidRPr="00EB2694" w:rsidRDefault="00CE58F0" w:rsidP="00413B8D">
            <w:pPr>
              <w:jc w:val="both"/>
            </w:pPr>
            <w:r>
              <w:rPr>
                <w:b/>
              </w:rPr>
              <w:t>Financial liabilities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p>
        </w:tc>
      </w:tr>
      <w:tr w:rsidR="00CE58F0" w:rsidRPr="00AA58CA" w:rsidTr="00413B8D">
        <w:trPr>
          <w:gridAfter w:val="1"/>
          <w:wAfter w:w="550" w:type="dxa"/>
        </w:trPr>
        <w:tc>
          <w:tcPr>
            <w:tcW w:w="3797" w:type="dxa"/>
          </w:tcPr>
          <w:p w:rsidR="00CE58F0" w:rsidRDefault="00CE58F0" w:rsidP="00413B8D">
            <w:pPr>
              <w:jc w:val="both"/>
              <w:rPr>
                <w:b/>
              </w:rPr>
            </w:pPr>
            <w:r>
              <w:t>Derivative contracts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21.3</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w:t>
            </w:r>
          </w:p>
        </w:tc>
      </w:tr>
      <w:tr w:rsidR="00CE58F0" w:rsidRPr="00AA58CA" w:rsidTr="00413B8D">
        <w:trPr>
          <w:gridAfter w:val="1"/>
          <w:wAfter w:w="550" w:type="dxa"/>
        </w:trPr>
        <w:tc>
          <w:tcPr>
            <w:tcW w:w="3797" w:type="dxa"/>
          </w:tcPr>
          <w:p w:rsidR="00CE58F0" w:rsidRDefault="00CE58F0" w:rsidP="00413B8D">
            <w:pPr>
              <w:jc w:val="both"/>
            </w:pPr>
            <w:r>
              <w:t>Creditors</w:t>
            </w:r>
          </w:p>
        </w:tc>
        <w:tc>
          <w:tcPr>
            <w:tcW w:w="1017" w:type="dxa"/>
            <w:tcBorders>
              <w:right w:val="single" w:sz="18" w:space="0" w:color="FFFFFF" w:themeColor="background1"/>
            </w:tcBorders>
          </w:tcPr>
          <w:p w:rsidR="00CE58F0" w:rsidRPr="00AA58CA" w:rsidRDefault="00CE58F0" w:rsidP="00413B8D">
            <w:pPr>
              <w:jc w:val="right"/>
            </w:pPr>
          </w:p>
        </w:tc>
        <w:tc>
          <w:tcPr>
            <w:tcW w:w="1343" w:type="dxa"/>
            <w:tcBorders>
              <w:left w:val="single" w:sz="18" w:space="0" w:color="FFFFFF" w:themeColor="background1"/>
            </w:tcBorders>
          </w:tcPr>
          <w:p w:rsidR="00CE58F0" w:rsidRPr="00AA58CA" w:rsidRDefault="00CE58F0" w:rsidP="00413B8D">
            <w:pPr>
              <w:jc w:val="right"/>
            </w:pPr>
            <w:r>
              <w:t>-</w:t>
            </w:r>
          </w:p>
        </w:tc>
        <w:tc>
          <w:tcPr>
            <w:tcW w:w="817" w:type="dxa"/>
            <w:tcBorders>
              <w:right w:val="single" w:sz="18" w:space="0" w:color="FFFFFF" w:themeColor="background1"/>
            </w:tcBorders>
          </w:tcPr>
          <w:p w:rsidR="00CE58F0" w:rsidRPr="00AA58CA" w:rsidRDefault="00CE58F0" w:rsidP="00413B8D">
            <w:pPr>
              <w:jc w:val="right"/>
            </w:pPr>
          </w:p>
        </w:tc>
        <w:tc>
          <w:tcPr>
            <w:tcW w:w="1405" w:type="dxa"/>
            <w:tcBorders>
              <w:left w:val="single" w:sz="18" w:space="0" w:color="FFFFFF" w:themeColor="background1"/>
            </w:tcBorders>
          </w:tcPr>
          <w:p w:rsidR="00CE58F0" w:rsidRPr="00AA58CA" w:rsidRDefault="00CE58F0" w:rsidP="00413B8D">
            <w:pPr>
              <w:jc w:val="right"/>
            </w:pPr>
            <w:r>
              <w:t>-</w:t>
            </w:r>
          </w:p>
        </w:tc>
        <w:tc>
          <w:tcPr>
            <w:tcW w:w="550" w:type="dxa"/>
            <w:tcBorders>
              <w:right w:val="single" w:sz="18" w:space="0" w:color="FFFFFF" w:themeColor="background1"/>
            </w:tcBorders>
          </w:tcPr>
          <w:p w:rsidR="00CE58F0" w:rsidRPr="00AA58CA" w:rsidRDefault="00CE58F0" w:rsidP="00413B8D">
            <w:pPr>
              <w:jc w:val="right"/>
            </w:pPr>
          </w:p>
        </w:tc>
        <w:tc>
          <w:tcPr>
            <w:tcW w:w="1270" w:type="dxa"/>
            <w:tcBorders>
              <w:left w:val="single" w:sz="18" w:space="0" w:color="FFFFFF" w:themeColor="background1"/>
            </w:tcBorders>
          </w:tcPr>
          <w:p w:rsidR="00CE58F0" w:rsidRPr="00AA58CA" w:rsidRDefault="00CE58F0" w:rsidP="00413B8D">
            <w:pPr>
              <w:jc w:val="right"/>
            </w:pPr>
            <w:r>
              <w:t>11.7</w:t>
            </w:r>
          </w:p>
        </w:tc>
      </w:tr>
      <w:tr w:rsidR="00CE58F0" w:rsidRPr="00AA58CA" w:rsidTr="00413B8D">
        <w:tc>
          <w:tcPr>
            <w:tcW w:w="4814" w:type="dxa"/>
            <w:gridSpan w:val="2"/>
          </w:tcPr>
          <w:p w:rsidR="00CE58F0" w:rsidRPr="006018C2" w:rsidRDefault="00CE58F0" w:rsidP="00413B8D">
            <w:pPr>
              <w:jc w:val="both"/>
              <w:rPr>
                <w:b/>
              </w:rPr>
            </w:pPr>
            <w:r w:rsidRPr="006018C2">
              <w:rPr>
                <w:b/>
              </w:rPr>
              <w:t>Total Financial Liabilities</w:t>
            </w:r>
          </w:p>
        </w:tc>
        <w:tc>
          <w:tcPr>
            <w:tcW w:w="1343" w:type="dxa"/>
          </w:tcPr>
          <w:p w:rsidR="00CE58F0" w:rsidRPr="006018C2" w:rsidRDefault="00CE58F0" w:rsidP="00413B8D">
            <w:pPr>
              <w:jc w:val="right"/>
              <w:rPr>
                <w:b/>
              </w:rPr>
            </w:pPr>
            <w:r>
              <w:rPr>
                <w:b/>
              </w:rPr>
              <w:t>21.3</w:t>
            </w:r>
          </w:p>
        </w:tc>
        <w:tc>
          <w:tcPr>
            <w:tcW w:w="817" w:type="dxa"/>
            <w:tcBorders>
              <w:right w:val="single" w:sz="18" w:space="0" w:color="FFFFFF" w:themeColor="background1"/>
            </w:tcBorders>
          </w:tcPr>
          <w:p w:rsidR="00CE58F0" w:rsidRPr="006018C2" w:rsidRDefault="00CE58F0" w:rsidP="00413B8D">
            <w:pPr>
              <w:jc w:val="right"/>
              <w:rPr>
                <w:b/>
              </w:rPr>
            </w:pPr>
          </w:p>
        </w:tc>
        <w:tc>
          <w:tcPr>
            <w:tcW w:w="1405" w:type="dxa"/>
            <w:tcBorders>
              <w:left w:val="single" w:sz="18" w:space="0" w:color="FFFFFF" w:themeColor="background1"/>
            </w:tcBorders>
          </w:tcPr>
          <w:p w:rsidR="00CE58F0" w:rsidRPr="006018C2" w:rsidRDefault="00CE58F0" w:rsidP="00413B8D">
            <w:pPr>
              <w:jc w:val="right"/>
              <w:rPr>
                <w:b/>
              </w:rPr>
            </w:pPr>
            <w:r>
              <w:rPr>
                <w:b/>
              </w:rPr>
              <w:t>-</w:t>
            </w:r>
          </w:p>
        </w:tc>
        <w:tc>
          <w:tcPr>
            <w:tcW w:w="550" w:type="dxa"/>
            <w:tcBorders>
              <w:right w:val="single" w:sz="18" w:space="0" w:color="FFFFFF" w:themeColor="background1"/>
            </w:tcBorders>
          </w:tcPr>
          <w:p w:rsidR="00CE58F0" w:rsidRPr="006018C2" w:rsidRDefault="00CE58F0" w:rsidP="00413B8D">
            <w:pPr>
              <w:jc w:val="right"/>
              <w:rPr>
                <w:b/>
              </w:rPr>
            </w:pPr>
          </w:p>
        </w:tc>
        <w:tc>
          <w:tcPr>
            <w:tcW w:w="1270" w:type="dxa"/>
            <w:tcBorders>
              <w:left w:val="single" w:sz="18" w:space="0" w:color="FFFFFF" w:themeColor="background1"/>
            </w:tcBorders>
          </w:tcPr>
          <w:p w:rsidR="00CE58F0" w:rsidRPr="006018C2" w:rsidRDefault="00CE58F0" w:rsidP="00413B8D">
            <w:pPr>
              <w:jc w:val="right"/>
              <w:rPr>
                <w:b/>
              </w:rPr>
            </w:pPr>
            <w:r>
              <w:rPr>
                <w:b/>
              </w:rPr>
              <w:t>11.7</w:t>
            </w:r>
          </w:p>
        </w:tc>
        <w:tc>
          <w:tcPr>
            <w:tcW w:w="550" w:type="dxa"/>
          </w:tcPr>
          <w:p w:rsidR="00CE58F0" w:rsidRPr="00B736A4" w:rsidRDefault="00CE58F0" w:rsidP="00413B8D">
            <w:pPr>
              <w:jc w:val="right"/>
              <w:rPr>
                <w:b/>
              </w:rPr>
            </w:pPr>
          </w:p>
        </w:tc>
      </w:tr>
    </w:tbl>
    <w:p w:rsidR="00CE58F0" w:rsidRDefault="00CE58F0" w:rsidP="00CE58F0"/>
    <w:tbl>
      <w:tblPr>
        <w:tblStyle w:val="TableGrid"/>
        <w:tblW w:w="1019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709"/>
        <w:gridCol w:w="1276"/>
        <w:gridCol w:w="709"/>
        <w:gridCol w:w="1275"/>
        <w:gridCol w:w="709"/>
        <w:gridCol w:w="1127"/>
      </w:tblGrid>
      <w:tr w:rsidR="00CE58F0" w:rsidTr="00413B8D">
        <w:tc>
          <w:tcPr>
            <w:tcW w:w="4394" w:type="dxa"/>
          </w:tcPr>
          <w:p w:rsidR="00CE58F0" w:rsidRDefault="00CE58F0" w:rsidP="00413B8D">
            <w:pPr>
              <w:jc w:val="both"/>
              <w:rPr>
                <w:b/>
              </w:rPr>
            </w:pPr>
            <w:r>
              <w:rPr>
                <w:b/>
              </w:rPr>
              <w:t>31/03/13</w:t>
            </w:r>
          </w:p>
        </w:tc>
        <w:tc>
          <w:tcPr>
            <w:tcW w:w="1985" w:type="dxa"/>
            <w:gridSpan w:val="2"/>
          </w:tcPr>
          <w:p w:rsidR="00CE58F0" w:rsidRDefault="00CE58F0" w:rsidP="00413B8D">
            <w:pPr>
              <w:jc w:val="right"/>
              <w:rPr>
                <w:b/>
              </w:rPr>
            </w:pPr>
            <w:r>
              <w:rPr>
                <w:b/>
              </w:rPr>
              <w:t>Designated at fair value through profit or loss</w:t>
            </w:r>
          </w:p>
        </w:tc>
        <w:tc>
          <w:tcPr>
            <w:tcW w:w="1984" w:type="dxa"/>
            <w:gridSpan w:val="2"/>
          </w:tcPr>
          <w:p w:rsidR="00CE58F0" w:rsidRDefault="00CE58F0" w:rsidP="00413B8D">
            <w:pPr>
              <w:jc w:val="right"/>
              <w:rPr>
                <w:b/>
              </w:rPr>
            </w:pPr>
            <w:r>
              <w:rPr>
                <w:b/>
              </w:rPr>
              <w:t>Loans and receivables</w:t>
            </w:r>
          </w:p>
        </w:tc>
        <w:tc>
          <w:tcPr>
            <w:tcW w:w="1836" w:type="dxa"/>
            <w:gridSpan w:val="2"/>
          </w:tcPr>
          <w:p w:rsidR="00CE58F0" w:rsidRDefault="00CE58F0" w:rsidP="00413B8D">
            <w:pPr>
              <w:jc w:val="right"/>
              <w:rPr>
                <w:b/>
              </w:rPr>
            </w:pPr>
            <w:r>
              <w:rPr>
                <w:b/>
              </w:rPr>
              <w:t>Financial liabilities at amortised cost</w:t>
            </w:r>
          </w:p>
        </w:tc>
      </w:tr>
      <w:tr w:rsidR="00CE58F0" w:rsidTr="00413B8D">
        <w:tc>
          <w:tcPr>
            <w:tcW w:w="4394" w:type="dxa"/>
          </w:tcPr>
          <w:p w:rsidR="00CE58F0" w:rsidRDefault="00CE58F0" w:rsidP="00413B8D">
            <w:pPr>
              <w:jc w:val="both"/>
              <w:rPr>
                <w:b/>
              </w:rPr>
            </w:pPr>
          </w:p>
        </w:tc>
        <w:tc>
          <w:tcPr>
            <w:tcW w:w="1985" w:type="dxa"/>
            <w:gridSpan w:val="2"/>
          </w:tcPr>
          <w:p w:rsidR="00CE58F0" w:rsidRDefault="00CE58F0" w:rsidP="00413B8D">
            <w:pPr>
              <w:jc w:val="right"/>
              <w:rPr>
                <w:b/>
              </w:rPr>
            </w:pPr>
            <w:r>
              <w:rPr>
                <w:b/>
              </w:rPr>
              <w:t>£m</w:t>
            </w:r>
          </w:p>
          <w:p w:rsidR="00CE58F0" w:rsidRDefault="00CE58F0" w:rsidP="00413B8D">
            <w:pPr>
              <w:jc w:val="right"/>
              <w:rPr>
                <w:b/>
              </w:rPr>
            </w:pPr>
          </w:p>
        </w:tc>
        <w:tc>
          <w:tcPr>
            <w:tcW w:w="1984" w:type="dxa"/>
            <w:gridSpan w:val="2"/>
          </w:tcPr>
          <w:p w:rsidR="00CE58F0" w:rsidRDefault="00CE58F0" w:rsidP="00413B8D">
            <w:pPr>
              <w:jc w:val="right"/>
              <w:rPr>
                <w:b/>
              </w:rPr>
            </w:pPr>
            <w:r>
              <w:rPr>
                <w:b/>
              </w:rPr>
              <w:t>£m</w:t>
            </w:r>
          </w:p>
        </w:tc>
        <w:tc>
          <w:tcPr>
            <w:tcW w:w="1836" w:type="dxa"/>
            <w:gridSpan w:val="2"/>
          </w:tcPr>
          <w:p w:rsidR="00CE58F0" w:rsidRDefault="00CE58F0" w:rsidP="00413B8D">
            <w:pPr>
              <w:jc w:val="right"/>
              <w:rPr>
                <w:b/>
              </w:rPr>
            </w:pPr>
            <w:r>
              <w:rPr>
                <w:b/>
              </w:rPr>
              <w:t>£m</w:t>
            </w:r>
          </w:p>
        </w:tc>
      </w:tr>
      <w:tr w:rsidR="00CE58F0" w:rsidRPr="00AA58CA" w:rsidTr="00413B8D">
        <w:tc>
          <w:tcPr>
            <w:tcW w:w="4394" w:type="dxa"/>
          </w:tcPr>
          <w:p w:rsidR="00CE58F0" w:rsidRPr="00EB2694" w:rsidRDefault="00CE58F0" w:rsidP="00413B8D">
            <w:pPr>
              <w:jc w:val="both"/>
              <w:rPr>
                <w:b/>
              </w:rPr>
            </w:pPr>
            <w:r w:rsidRPr="00EB2694">
              <w:rPr>
                <w:b/>
              </w:rPr>
              <w:t>Financial assets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Fixed interest securities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843.6</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bottom w:val="single" w:sz="18" w:space="0" w:color="FFFFFF" w:themeColor="background1"/>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Equities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1,749.3</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top w:val="single" w:sz="18" w:space="0" w:color="FFFFFF" w:themeColor="background1"/>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Index linked securities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164.9</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Pooled investment vehicles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1,601.2</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Derivative contracts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4.9</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Cash deposits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170.5</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Investment accruals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21.6</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Debtors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31.7</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Pr="00EB2694" w:rsidRDefault="00CE58F0" w:rsidP="00413B8D">
            <w:pPr>
              <w:jc w:val="both"/>
              <w:rPr>
                <w:b/>
              </w:rPr>
            </w:pPr>
            <w:r w:rsidRPr="00EB2694">
              <w:rPr>
                <w:b/>
              </w:rPr>
              <w:t>Total Financial Assets</w:t>
            </w:r>
          </w:p>
          <w:p w:rsidR="00CE58F0" w:rsidRDefault="00CE58F0" w:rsidP="00413B8D">
            <w:pPr>
              <w:jc w:val="both"/>
            </w:pP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B736A4" w:rsidRDefault="00CE58F0" w:rsidP="00413B8D">
            <w:pPr>
              <w:jc w:val="right"/>
              <w:rPr>
                <w:b/>
              </w:rPr>
            </w:pPr>
            <w:r>
              <w:rPr>
                <w:b/>
              </w:rPr>
              <w:t>4,385.5</w:t>
            </w:r>
          </w:p>
        </w:tc>
        <w:tc>
          <w:tcPr>
            <w:tcW w:w="709" w:type="dxa"/>
            <w:tcBorders>
              <w:right w:val="single" w:sz="18" w:space="0" w:color="FFFFFF" w:themeColor="background1"/>
            </w:tcBorders>
          </w:tcPr>
          <w:p w:rsidR="00CE58F0" w:rsidRPr="00B736A4" w:rsidRDefault="00CE58F0" w:rsidP="00413B8D">
            <w:pPr>
              <w:jc w:val="right"/>
              <w:rPr>
                <w:b/>
              </w:rPr>
            </w:pPr>
          </w:p>
        </w:tc>
        <w:tc>
          <w:tcPr>
            <w:tcW w:w="1275" w:type="dxa"/>
            <w:tcBorders>
              <w:left w:val="single" w:sz="18" w:space="0" w:color="FFFFFF" w:themeColor="background1"/>
            </w:tcBorders>
          </w:tcPr>
          <w:p w:rsidR="00CE58F0" w:rsidRPr="00B736A4" w:rsidRDefault="00CE58F0" w:rsidP="00413B8D">
            <w:pPr>
              <w:jc w:val="right"/>
              <w:rPr>
                <w:b/>
              </w:rPr>
            </w:pPr>
            <w:r>
              <w:rPr>
                <w:b/>
              </w:rPr>
              <w:t>202.2</w:t>
            </w:r>
          </w:p>
        </w:tc>
        <w:tc>
          <w:tcPr>
            <w:tcW w:w="709" w:type="dxa"/>
            <w:tcBorders>
              <w:right w:val="single" w:sz="18" w:space="0" w:color="FFFFFF" w:themeColor="background1"/>
            </w:tcBorders>
          </w:tcPr>
          <w:p w:rsidR="00CE58F0" w:rsidRPr="006018C2" w:rsidRDefault="00CE58F0" w:rsidP="00413B8D">
            <w:pPr>
              <w:jc w:val="right"/>
              <w:rPr>
                <w:b/>
              </w:rPr>
            </w:pPr>
          </w:p>
        </w:tc>
        <w:tc>
          <w:tcPr>
            <w:tcW w:w="1127" w:type="dxa"/>
            <w:tcBorders>
              <w:left w:val="single" w:sz="18" w:space="0" w:color="FFFFFF" w:themeColor="background1"/>
            </w:tcBorders>
          </w:tcPr>
          <w:p w:rsidR="00CE58F0" w:rsidRPr="006018C2" w:rsidRDefault="00CE58F0" w:rsidP="00413B8D">
            <w:pPr>
              <w:jc w:val="right"/>
              <w:rPr>
                <w:b/>
              </w:rPr>
            </w:pPr>
            <w:r>
              <w:rPr>
                <w:b/>
              </w:rPr>
              <w:t>-</w:t>
            </w:r>
          </w:p>
        </w:tc>
      </w:tr>
      <w:tr w:rsidR="00CE58F0" w:rsidRPr="00AA58CA" w:rsidTr="00413B8D">
        <w:tc>
          <w:tcPr>
            <w:tcW w:w="4394" w:type="dxa"/>
          </w:tcPr>
          <w:p w:rsidR="00CE58F0" w:rsidRPr="00EB2694" w:rsidRDefault="00CE58F0" w:rsidP="00413B8D">
            <w:pPr>
              <w:jc w:val="both"/>
            </w:pPr>
            <w:r>
              <w:rPr>
                <w:b/>
              </w:rPr>
              <w:t>Financial liabilities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p>
        </w:tc>
      </w:tr>
      <w:tr w:rsidR="00CE58F0" w:rsidRPr="00AA58CA" w:rsidTr="00413B8D">
        <w:tc>
          <w:tcPr>
            <w:tcW w:w="4394" w:type="dxa"/>
          </w:tcPr>
          <w:p w:rsidR="00CE58F0" w:rsidRDefault="00CE58F0" w:rsidP="00413B8D">
            <w:pPr>
              <w:jc w:val="both"/>
              <w:rPr>
                <w:b/>
              </w:rPr>
            </w:pPr>
            <w:r>
              <w:t>Derivative contracts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1.9</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w:t>
            </w:r>
          </w:p>
        </w:tc>
      </w:tr>
      <w:tr w:rsidR="00CE58F0" w:rsidRPr="00AA58CA" w:rsidTr="00413B8D">
        <w:tc>
          <w:tcPr>
            <w:tcW w:w="4394" w:type="dxa"/>
          </w:tcPr>
          <w:p w:rsidR="00CE58F0" w:rsidRDefault="00CE58F0" w:rsidP="00413B8D">
            <w:pPr>
              <w:jc w:val="both"/>
            </w:pPr>
            <w:r>
              <w:t>Creditors</w:t>
            </w:r>
          </w:p>
        </w:tc>
        <w:tc>
          <w:tcPr>
            <w:tcW w:w="709" w:type="dxa"/>
            <w:tcBorders>
              <w:right w:val="single" w:sz="18" w:space="0" w:color="FFFFFF" w:themeColor="background1"/>
            </w:tcBorders>
          </w:tcPr>
          <w:p w:rsidR="00CE58F0" w:rsidRPr="00AA58CA" w:rsidRDefault="00CE58F0" w:rsidP="00413B8D">
            <w:pPr>
              <w:jc w:val="right"/>
            </w:pPr>
          </w:p>
        </w:tc>
        <w:tc>
          <w:tcPr>
            <w:tcW w:w="1276"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275" w:type="dxa"/>
            <w:tcBorders>
              <w:left w:val="single" w:sz="18" w:space="0" w:color="FFFFFF" w:themeColor="background1"/>
            </w:tcBorders>
          </w:tcPr>
          <w:p w:rsidR="00CE58F0" w:rsidRPr="00AA58CA" w:rsidRDefault="00CE58F0" w:rsidP="00413B8D">
            <w:pPr>
              <w:jc w:val="right"/>
            </w:pPr>
            <w:r>
              <w:t>-</w:t>
            </w:r>
          </w:p>
        </w:tc>
        <w:tc>
          <w:tcPr>
            <w:tcW w:w="709" w:type="dxa"/>
            <w:tcBorders>
              <w:right w:val="single" w:sz="18" w:space="0" w:color="FFFFFF" w:themeColor="background1"/>
            </w:tcBorders>
          </w:tcPr>
          <w:p w:rsidR="00CE58F0" w:rsidRPr="00AA58CA" w:rsidRDefault="00CE58F0" w:rsidP="00413B8D">
            <w:pPr>
              <w:jc w:val="right"/>
            </w:pPr>
          </w:p>
        </w:tc>
        <w:tc>
          <w:tcPr>
            <w:tcW w:w="1127" w:type="dxa"/>
            <w:tcBorders>
              <w:left w:val="single" w:sz="18" w:space="0" w:color="FFFFFF" w:themeColor="background1"/>
            </w:tcBorders>
          </w:tcPr>
          <w:p w:rsidR="00CE58F0" w:rsidRPr="00AA58CA" w:rsidRDefault="00CE58F0" w:rsidP="00413B8D">
            <w:pPr>
              <w:jc w:val="right"/>
            </w:pPr>
            <w:r>
              <w:t>9.7</w:t>
            </w:r>
          </w:p>
        </w:tc>
      </w:tr>
      <w:tr w:rsidR="00CE58F0" w:rsidRPr="006018C2" w:rsidTr="00413B8D">
        <w:tc>
          <w:tcPr>
            <w:tcW w:w="4394" w:type="dxa"/>
          </w:tcPr>
          <w:p w:rsidR="00CE58F0" w:rsidRPr="006018C2" w:rsidRDefault="00CE58F0" w:rsidP="00413B8D">
            <w:pPr>
              <w:jc w:val="both"/>
              <w:rPr>
                <w:b/>
              </w:rPr>
            </w:pPr>
            <w:r w:rsidRPr="006018C2">
              <w:rPr>
                <w:b/>
              </w:rPr>
              <w:t>Total Financial Liabilities</w:t>
            </w:r>
          </w:p>
        </w:tc>
        <w:tc>
          <w:tcPr>
            <w:tcW w:w="709" w:type="dxa"/>
            <w:tcBorders>
              <w:right w:val="single" w:sz="18" w:space="0" w:color="FFFFFF" w:themeColor="background1"/>
            </w:tcBorders>
          </w:tcPr>
          <w:p w:rsidR="00CE58F0" w:rsidRPr="006018C2" w:rsidRDefault="00CE58F0" w:rsidP="00413B8D">
            <w:pPr>
              <w:jc w:val="right"/>
              <w:rPr>
                <w:b/>
              </w:rPr>
            </w:pPr>
          </w:p>
        </w:tc>
        <w:tc>
          <w:tcPr>
            <w:tcW w:w="1276" w:type="dxa"/>
            <w:tcBorders>
              <w:left w:val="single" w:sz="18" w:space="0" w:color="FFFFFF" w:themeColor="background1"/>
            </w:tcBorders>
          </w:tcPr>
          <w:p w:rsidR="00CE58F0" w:rsidRPr="006018C2" w:rsidRDefault="00CE58F0" w:rsidP="00413B8D">
            <w:pPr>
              <w:jc w:val="right"/>
              <w:rPr>
                <w:b/>
              </w:rPr>
            </w:pPr>
            <w:r>
              <w:rPr>
                <w:b/>
              </w:rPr>
              <w:t>1.9</w:t>
            </w:r>
          </w:p>
        </w:tc>
        <w:tc>
          <w:tcPr>
            <w:tcW w:w="709" w:type="dxa"/>
            <w:tcBorders>
              <w:right w:val="single" w:sz="18" w:space="0" w:color="FFFFFF" w:themeColor="background1"/>
            </w:tcBorders>
          </w:tcPr>
          <w:p w:rsidR="00CE58F0" w:rsidRPr="006018C2" w:rsidRDefault="00CE58F0" w:rsidP="00413B8D">
            <w:pPr>
              <w:jc w:val="right"/>
              <w:rPr>
                <w:b/>
              </w:rPr>
            </w:pPr>
          </w:p>
        </w:tc>
        <w:tc>
          <w:tcPr>
            <w:tcW w:w="1275" w:type="dxa"/>
            <w:tcBorders>
              <w:left w:val="single" w:sz="18" w:space="0" w:color="FFFFFF" w:themeColor="background1"/>
            </w:tcBorders>
          </w:tcPr>
          <w:p w:rsidR="00CE58F0" w:rsidRPr="006018C2" w:rsidRDefault="00CE58F0" w:rsidP="00413B8D">
            <w:pPr>
              <w:jc w:val="right"/>
              <w:rPr>
                <w:b/>
              </w:rPr>
            </w:pPr>
            <w:r>
              <w:rPr>
                <w:b/>
              </w:rPr>
              <w:t>-</w:t>
            </w:r>
          </w:p>
        </w:tc>
        <w:tc>
          <w:tcPr>
            <w:tcW w:w="709" w:type="dxa"/>
            <w:tcBorders>
              <w:right w:val="single" w:sz="18" w:space="0" w:color="FFFFFF" w:themeColor="background1"/>
            </w:tcBorders>
          </w:tcPr>
          <w:p w:rsidR="00CE58F0" w:rsidRPr="006018C2" w:rsidRDefault="00CE58F0" w:rsidP="00413B8D">
            <w:pPr>
              <w:jc w:val="right"/>
              <w:rPr>
                <w:b/>
              </w:rPr>
            </w:pPr>
          </w:p>
        </w:tc>
        <w:tc>
          <w:tcPr>
            <w:tcW w:w="1127" w:type="dxa"/>
            <w:tcBorders>
              <w:left w:val="single" w:sz="18" w:space="0" w:color="FFFFFF" w:themeColor="background1"/>
            </w:tcBorders>
          </w:tcPr>
          <w:p w:rsidR="00CE58F0" w:rsidRPr="006018C2" w:rsidRDefault="00CE58F0" w:rsidP="00413B8D">
            <w:pPr>
              <w:jc w:val="right"/>
              <w:rPr>
                <w:b/>
              </w:rPr>
            </w:pPr>
            <w:r>
              <w:rPr>
                <w:b/>
              </w:rPr>
              <w:t>9.7</w:t>
            </w:r>
          </w:p>
        </w:tc>
      </w:tr>
      <w:tr w:rsidR="003F1D86" w:rsidRPr="006018C2" w:rsidTr="00413B8D">
        <w:tc>
          <w:tcPr>
            <w:tcW w:w="4394" w:type="dxa"/>
          </w:tcPr>
          <w:p w:rsidR="003F1D86" w:rsidRPr="006018C2" w:rsidRDefault="003F1D86" w:rsidP="00413B8D">
            <w:pPr>
              <w:jc w:val="both"/>
              <w:rPr>
                <w:b/>
              </w:rPr>
            </w:pPr>
          </w:p>
        </w:tc>
        <w:tc>
          <w:tcPr>
            <w:tcW w:w="709" w:type="dxa"/>
            <w:tcBorders>
              <w:right w:val="single" w:sz="18" w:space="0" w:color="FFFFFF" w:themeColor="background1"/>
            </w:tcBorders>
          </w:tcPr>
          <w:p w:rsidR="003F1D86" w:rsidRPr="006018C2" w:rsidRDefault="003F1D86" w:rsidP="00413B8D">
            <w:pPr>
              <w:jc w:val="right"/>
              <w:rPr>
                <w:b/>
              </w:rPr>
            </w:pPr>
          </w:p>
        </w:tc>
        <w:tc>
          <w:tcPr>
            <w:tcW w:w="1276" w:type="dxa"/>
            <w:tcBorders>
              <w:left w:val="single" w:sz="18" w:space="0" w:color="FFFFFF" w:themeColor="background1"/>
            </w:tcBorders>
          </w:tcPr>
          <w:p w:rsidR="003F1D86" w:rsidRDefault="003F1D86" w:rsidP="00413B8D">
            <w:pPr>
              <w:jc w:val="right"/>
              <w:rPr>
                <w:b/>
              </w:rPr>
            </w:pPr>
          </w:p>
        </w:tc>
        <w:tc>
          <w:tcPr>
            <w:tcW w:w="709" w:type="dxa"/>
            <w:tcBorders>
              <w:right w:val="single" w:sz="18" w:space="0" w:color="FFFFFF" w:themeColor="background1"/>
            </w:tcBorders>
          </w:tcPr>
          <w:p w:rsidR="003F1D86" w:rsidRPr="006018C2" w:rsidRDefault="003F1D86" w:rsidP="00413B8D">
            <w:pPr>
              <w:jc w:val="right"/>
              <w:rPr>
                <w:b/>
              </w:rPr>
            </w:pPr>
          </w:p>
        </w:tc>
        <w:tc>
          <w:tcPr>
            <w:tcW w:w="1275" w:type="dxa"/>
            <w:tcBorders>
              <w:left w:val="single" w:sz="18" w:space="0" w:color="FFFFFF" w:themeColor="background1"/>
            </w:tcBorders>
          </w:tcPr>
          <w:p w:rsidR="003F1D86" w:rsidRDefault="003F1D86" w:rsidP="00413B8D">
            <w:pPr>
              <w:jc w:val="right"/>
              <w:rPr>
                <w:b/>
              </w:rPr>
            </w:pPr>
          </w:p>
        </w:tc>
        <w:tc>
          <w:tcPr>
            <w:tcW w:w="709" w:type="dxa"/>
            <w:tcBorders>
              <w:right w:val="single" w:sz="18" w:space="0" w:color="FFFFFF" w:themeColor="background1"/>
            </w:tcBorders>
          </w:tcPr>
          <w:p w:rsidR="003F1D86" w:rsidRPr="006018C2" w:rsidRDefault="003F1D86" w:rsidP="00413B8D">
            <w:pPr>
              <w:jc w:val="right"/>
              <w:rPr>
                <w:b/>
              </w:rPr>
            </w:pPr>
          </w:p>
        </w:tc>
        <w:tc>
          <w:tcPr>
            <w:tcW w:w="1127" w:type="dxa"/>
            <w:tcBorders>
              <w:left w:val="single" w:sz="18" w:space="0" w:color="FFFFFF" w:themeColor="background1"/>
            </w:tcBorders>
          </w:tcPr>
          <w:p w:rsidR="003F1D86" w:rsidRDefault="003F1D86" w:rsidP="00413B8D">
            <w:pPr>
              <w:jc w:val="right"/>
              <w:rPr>
                <w:b/>
              </w:rPr>
            </w:pPr>
          </w:p>
        </w:tc>
      </w:tr>
    </w:tbl>
    <w:p w:rsidR="00CE58F0" w:rsidRDefault="00CE58F0" w:rsidP="00CE58F0">
      <w:pPr>
        <w:spacing w:after="120"/>
        <w:rPr>
          <w:b/>
          <w:szCs w:val="24"/>
        </w:rPr>
      </w:pPr>
    </w:p>
    <w:p w:rsidR="00CE58F0" w:rsidRDefault="00CE58F0" w:rsidP="00CE58F0">
      <w:pPr>
        <w:pStyle w:val="ListParagraph"/>
        <w:numPr>
          <w:ilvl w:val="0"/>
          <w:numId w:val="2"/>
        </w:numPr>
        <w:tabs>
          <w:tab w:val="clear" w:pos="720"/>
          <w:tab w:val="num" w:pos="709"/>
        </w:tabs>
        <w:ind w:left="862"/>
        <w:rPr>
          <w:rFonts w:cs="Arial"/>
          <w:b/>
          <w:bCs/>
          <w:color w:val="000000"/>
        </w:rPr>
      </w:pPr>
      <w:r w:rsidRPr="007413EA">
        <w:rPr>
          <w:rFonts w:cs="Arial"/>
          <w:b/>
          <w:bCs/>
          <w:color w:val="000000"/>
        </w:rPr>
        <w:t>Net gains and losses on financial instruments</w:t>
      </w:r>
    </w:p>
    <w:p w:rsidR="00CE58F0" w:rsidRDefault="00CE58F0" w:rsidP="00CE58F0">
      <w:pPr>
        <w:ind w:left="862"/>
        <w:rPr>
          <w:rFonts w:cs="Arial"/>
          <w:b/>
          <w:bCs/>
          <w:color w:val="000000"/>
        </w:rPr>
      </w:pPr>
    </w:p>
    <w:p w:rsidR="00CE58F0" w:rsidRDefault="00CE58F0" w:rsidP="00CE58F0">
      <w:pPr>
        <w:ind w:left="709"/>
        <w:rPr>
          <w:rFonts w:cs="Arial"/>
          <w:bCs/>
          <w:color w:val="000000"/>
        </w:rPr>
      </w:pPr>
      <w:r>
        <w:rPr>
          <w:rFonts w:cs="Arial"/>
          <w:b/>
          <w:bCs/>
          <w:color w:val="000000"/>
        </w:rPr>
        <w:t xml:space="preserve"> </w:t>
      </w:r>
      <w:r>
        <w:rPr>
          <w:rFonts w:cs="Arial"/>
          <w:bCs/>
          <w:color w:val="000000"/>
        </w:rPr>
        <w:t>The net gain on financial assets at fair value through profit and loss is £59.0m</w:t>
      </w:r>
    </w:p>
    <w:p w:rsidR="00CE58F0" w:rsidRDefault="00CE58F0" w:rsidP="00CE58F0">
      <w:pPr>
        <w:ind w:left="709"/>
        <w:rPr>
          <w:rFonts w:cs="Arial"/>
          <w:b/>
          <w:bCs/>
          <w:color w:val="000000"/>
        </w:rPr>
      </w:pPr>
      <w:r>
        <w:rPr>
          <w:rFonts w:cs="Arial"/>
          <w:bCs/>
          <w:color w:val="000000"/>
        </w:rPr>
        <w:t xml:space="preserve"> (2012/13 £548.4m)</w:t>
      </w:r>
      <w:r w:rsidRPr="000026E9" w:rsidDel="00227930">
        <w:rPr>
          <w:rFonts w:cs="Arial"/>
          <w:bCs/>
          <w:color w:val="000000"/>
        </w:rPr>
        <w:t xml:space="preserve"> </w:t>
      </w:r>
    </w:p>
    <w:p w:rsidR="00CE58F0" w:rsidRDefault="00CE58F0" w:rsidP="00CE58F0">
      <w:pPr>
        <w:pStyle w:val="ListParagraph"/>
        <w:rPr>
          <w:rFonts w:cs="Arial"/>
          <w:b/>
          <w:bCs/>
          <w:color w:val="000000"/>
        </w:rPr>
      </w:pPr>
    </w:p>
    <w:p w:rsidR="00CE58F0" w:rsidRDefault="00CE58F0" w:rsidP="00CE58F0">
      <w:pPr>
        <w:pStyle w:val="ListParagraph"/>
        <w:rPr>
          <w:rFonts w:cs="Arial"/>
          <w:b/>
          <w:bCs/>
          <w:color w:val="000000"/>
        </w:rPr>
      </w:pPr>
    </w:p>
    <w:p w:rsidR="00CE58F0" w:rsidRPr="0068032C" w:rsidRDefault="00CE58F0" w:rsidP="00CE58F0">
      <w:pPr>
        <w:pStyle w:val="ListParagraph"/>
        <w:numPr>
          <w:ilvl w:val="0"/>
          <w:numId w:val="2"/>
        </w:numPr>
        <w:tabs>
          <w:tab w:val="clear" w:pos="720"/>
          <w:tab w:val="num" w:pos="709"/>
        </w:tabs>
        <w:ind w:left="862"/>
        <w:rPr>
          <w:b/>
        </w:rPr>
      </w:pPr>
      <w:r w:rsidRPr="0068032C">
        <w:rPr>
          <w:b/>
        </w:rPr>
        <w:t xml:space="preserve">Financial Instruments – Valuation </w:t>
      </w:r>
    </w:p>
    <w:p w:rsidR="00CE58F0" w:rsidRDefault="00CE58F0" w:rsidP="00CE58F0">
      <w:pPr>
        <w:pStyle w:val="ListParagraph"/>
        <w:rPr>
          <w:b/>
        </w:rPr>
      </w:pPr>
    </w:p>
    <w:p w:rsidR="00CE58F0" w:rsidRDefault="00CE58F0" w:rsidP="00CE58F0">
      <w:pPr>
        <w:ind w:left="720"/>
        <w:rPr>
          <w:b/>
        </w:rPr>
      </w:pPr>
      <w:r>
        <w:rPr>
          <w:b/>
        </w:rPr>
        <w:t>Valuation of financial instruments carried at fair value</w:t>
      </w:r>
    </w:p>
    <w:p w:rsidR="00CE58F0" w:rsidRDefault="00CE58F0" w:rsidP="00CE58F0">
      <w:pPr>
        <w:ind w:left="720"/>
        <w:rPr>
          <w:b/>
        </w:rPr>
      </w:pPr>
    </w:p>
    <w:p w:rsidR="00CE58F0" w:rsidRDefault="00CE58F0" w:rsidP="00CE58F0">
      <w:pPr>
        <w:ind w:left="720"/>
        <w:rPr>
          <w:szCs w:val="24"/>
        </w:rPr>
      </w:pPr>
      <w:r w:rsidRPr="000637CA">
        <w:rPr>
          <w:szCs w:val="24"/>
        </w:rPr>
        <w:t>The valuation of financial instruments has been classified into three levels according to quality and reliability of information used to determine fair values.</w:t>
      </w:r>
    </w:p>
    <w:p w:rsidR="00CE58F0" w:rsidRDefault="00CE58F0" w:rsidP="00CE58F0">
      <w:pPr>
        <w:ind w:left="720"/>
        <w:rPr>
          <w:szCs w:val="24"/>
        </w:rPr>
      </w:pPr>
    </w:p>
    <w:p w:rsidR="00CE58F0" w:rsidRDefault="00CE58F0" w:rsidP="00CE58F0">
      <w:pPr>
        <w:ind w:left="720"/>
        <w:rPr>
          <w:b/>
          <w:sz w:val="22"/>
          <w:szCs w:val="22"/>
        </w:rPr>
      </w:pPr>
      <w:r w:rsidRPr="00C92E34">
        <w:rPr>
          <w:b/>
          <w:sz w:val="22"/>
          <w:szCs w:val="22"/>
        </w:rPr>
        <w:t>Level 1</w:t>
      </w:r>
    </w:p>
    <w:p w:rsidR="00CE58F0" w:rsidRDefault="00CE58F0" w:rsidP="00CE58F0">
      <w:pPr>
        <w:ind w:left="720"/>
        <w:rPr>
          <w:b/>
          <w:sz w:val="22"/>
          <w:szCs w:val="22"/>
        </w:rPr>
      </w:pPr>
    </w:p>
    <w:p w:rsidR="00CE58F0" w:rsidRDefault="00CE58F0" w:rsidP="00CE58F0">
      <w:pPr>
        <w:ind w:left="720"/>
        <w:rPr>
          <w:szCs w:val="24"/>
        </w:rPr>
      </w:pPr>
      <w:r w:rsidRPr="000637CA">
        <w:rPr>
          <w:szCs w:val="24"/>
        </w:rPr>
        <w:t>Level 1 fair value measurements are those derived from unadjusted quoted prices in active markets for identical assets or liabilities</w:t>
      </w:r>
      <w:r>
        <w:rPr>
          <w:szCs w:val="24"/>
        </w:rPr>
        <w:t xml:space="preserve">.  Examples include quoted equity investments, unit trusts, UK pooled fixed income funds, overseas pooled fixed income funds, UK and overseas quoted fixed interest securities.  </w:t>
      </w:r>
    </w:p>
    <w:p w:rsidR="00CE58F0" w:rsidRPr="000637CA" w:rsidRDefault="00CE58F0" w:rsidP="00CE58F0">
      <w:pPr>
        <w:ind w:left="720"/>
        <w:rPr>
          <w:szCs w:val="24"/>
        </w:rPr>
      </w:pPr>
    </w:p>
    <w:p w:rsidR="00CE58F0" w:rsidRDefault="00CE58F0" w:rsidP="00CE58F0">
      <w:pPr>
        <w:ind w:left="720"/>
        <w:rPr>
          <w:szCs w:val="24"/>
        </w:rPr>
      </w:pPr>
      <w:r w:rsidRPr="00261385">
        <w:rPr>
          <w:szCs w:val="24"/>
        </w:rPr>
        <w:t>Listed investments are shown at bid prices.  The bid value of the investment is based on the bid market quotation of the relevant stock exchange.</w:t>
      </w:r>
    </w:p>
    <w:p w:rsidR="003F1D86" w:rsidRDefault="003F1D86" w:rsidP="00CE58F0">
      <w:pPr>
        <w:ind w:left="720"/>
        <w:rPr>
          <w:szCs w:val="24"/>
        </w:rPr>
      </w:pPr>
    </w:p>
    <w:p w:rsidR="00CE58F0" w:rsidRDefault="00CE58F0" w:rsidP="00CE58F0">
      <w:pPr>
        <w:ind w:left="720"/>
        <w:rPr>
          <w:b/>
          <w:sz w:val="22"/>
          <w:szCs w:val="22"/>
        </w:rPr>
      </w:pPr>
      <w:r w:rsidRPr="00B94BBC">
        <w:rPr>
          <w:b/>
          <w:sz w:val="22"/>
          <w:szCs w:val="22"/>
        </w:rPr>
        <w:t>Level 2</w:t>
      </w:r>
    </w:p>
    <w:p w:rsidR="00CE58F0" w:rsidRPr="00B94BBC" w:rsidRDefault="00CE58F0" w:rsidP="00CE58F0">
      <w:pPr>
        <w:ind w:left="720"/>
        <w:rPr>
          <w:b/>
          <w:sz w:val="22"/>
          <w:szCs w:val="22"/>
        </w:rPr>
      </w:pPr>
    </w:p>
    <w:p w:rsidR="00CE58F0" w:rsidRDefault="00CE58F0" w:rsidP="00CE58F0">
      <w:pPr>
        <w:ind w:left="720"/>
        <w:rPr>
          <w:szCs w:val="24"/>
        </w:rPr>
      </w:pPr>
      <w:r w:rsidRPr="00F97C80">
        <w:rPr>
          <w:szCs w:val="24"/>
        </w:rPr>
        <w:t>Level 2 investments are those where quoted market prices are not available, for example where an instrument is traded in a market that is not considered to be active or valuation</w:t>
      </w:r>
      <w:r w:rsidR="00783C33">
        <w:rPr>
          <w:szCs w:val="24"/>
        </w:rPr>
        <w:t xml:space="preserve"> </w:t>
      </w:r>
    </w:p>
    <w:p w:rsidR="00CE58F0" w:rsidRDefault="00CE58F0" w:rsidP="00CE58F0">
      <w:pPr>
        <w:ind w:left="720"/>
        <w:rPr>
          <w:szCs w:val="24"/>
        </w:rPr>
      </w:pPr>
      <w:r w:rsidRPr="00F97C80">
        <w:rPr>
          <w:szCs w:val="24"/>
        </w:rPr>
        <w:t>techniques are used to determine fair value and where these techniques use inputs that are based significantly on observable market data.  Th</w:t>
      </w:r>
      <w:r>
        <w:rPr>
          <w:szCs w:val="24"/>
        </w:rPr>
        <w:t>e</w:t>
      </w:r>
      <w:r w:rsidRPr="00F97C80">
        <w:rPr>
          <w:szCs w:val="24"/>
        </w:rPr>
        <w:t xml:space="preserve"> technique </w:t>
      </w:r>
      <w:r>
        <w:rPr>
          <w:szCs w:val="24"/>
        </w:rPr>
        <w:t xml:space="preserve">for valuing these assets </w:t>
      </w:r>
      <w:r w:rsidRPr="00F97C80">
        <w:rPr>
          <w:szCs w:val="24"/>
        </w:rPr>
        <w:t>is independently verified</w:t>
      </w:r>
      <w:r>
        <w:rPr>
          <w:szCs w:val="24"/>
        </w:rPr>
        <w:t>.</w:t>
      </w:r>
    </w:p>
    <w:p w:rsidR="00CE58F0" w:rsidRDefault="00CE58F0" w:rsidP="00CE58F0">
      <w:pPr>
        <w:ind w:left="720"/>
        <w:rPr>
          <w:b/>
          <w:sz w:val="22"/>
          <w:szCs w:val="22"/>
        </w:rPr>
      </w:pPr>
    </w:p>
    <w:p w:rsidR="00CE58F0" w:rsidRDefault="00CE58F0" w:rsidP="00CE58F0">
      <w:pPr>
        <w:ind w:left="720"/>
        <w:rPr>
          <w:b/>
          <w:sz w:val="22"/>
          <w:szCs w:val="22"/>
        </w:rPr>
      </w:pPr>
      <w:r w:rsidRPr="00B94BBC">
        <w:rPr>
          <w:b/>
          <w:sz w:val="22"/>
          <w:szCs w:val="22"/>
        </w:rPr>
        <w:t>Level 3</w:t>
      </w:r>
    </w:p>
    <w:p w:rsidR="00CE58F0" w:rsidRPr="00B94BBC" w:rsidRDefault="00CE58F0" w:rsidP="00CE58F0">
      <w:pPr>
        <w:ind w:left="720"/>
        <w:rPr>
          <w:b/>
          <w:sz w:val="22"/>
          <w:szCs w:val="22"/>
        </w:rPr>
      </w:pPr>
    </w:p>
    <w:p w:rsidR="00CE58F0" w:rsidRPr="00CD7BF3" w:rsidRDefault="00CE58F0" w:rsidP="00CE58F0">
      <w:pPr>
        <w:ind w:left="720"/>
        <w:rPr>
          <w:szCs w:val="24"/>
        </w:rPr>
      </w:pPr>
      <w:r w:rsidRPr="00F97C80">
        <w:rPr>
          <w:szCs w:val="24"/>
        </w:rPr>
        <w:t xml:space="preserve">Level 3 portfolios are those where at least one input which could have a significant effect on the instrument's valuation is not based on observable market data.  </w:t>
      </w:r>
      <w:r w:rsidRPr="00261385">
        <w:rPr>
          <w:szCs w:val="24"/>
        </w:rPr>
        <w:t xml:space="preserve">Such instruments include </w:t>
      </w:r>
      <w:r w:rsidRPr="000C15C5">
        <w:rPr>
          <w:szCs w:val="24"/>
        </w:rPr>
        <w:t xml:space="preserve">internally managed overseas equity funds, overseas quoted fixed income investments, pooled UK fixed income investments, </w:t>
      </w:r>
      <w:r w:rsidRPr="00261385">
        <w:rPr>
          <w:szCs w:val="24"/>
        </w:rPr>
        <w:t>private equity, infrastructure, local authority bonds and indirect overseas property investments, which are valued using various valuation techniques that require significant management judgement in determining appropriate assumptions, including earnings, public market comparables and estimated future cash flows.</w:t>
      </w:r>
    </w:p>
    <w:p w:rsidR="00CE58F0" w:rsidRPr="0030136A" w:rsidRDefault="00CE58F0" w:rsidP="00CE58F0">
      <w:pPr>
        <w:ind w:left="720"/>
        <w:rPr>
          <w:sz w:val="22"/>
          <w:szCs w:val="22"/>
          <w:highlight w:val="yellow"/>
        </w:rPr>
      </w:pPr>
    </w:p>
    <w:p w:rsidR="00CE58F0" w:rsidRDefault="00CE58F0" w:rsidP="00CE58F0">
      <w:pPr>
        <w:ind w:left="720"/>
        <w:rPr>
          <w:szCs w:val="24"/>
        </w:rPr>
      </w:pPr>
      <w:r w:rsidRPr="00F97C80">
        <w:rPr>
          <w:szCs w:val="24"/>
        </w:rPr>
        <w:t>The values of the investment in private equity and infrastructure are based on valuations provided to the private equity and infrastructure funds in which Lancashire County Pension Fund has invested.  These valuations are prepared in accordance with the International Private Equity and Venture Capital Valuation Guidelines or equivalent, which follow the valuation principles of IFRS and US GAAP.  Valuations are performed annually mainly, and at the end of December.  Cash flow adjustments are used to roll forward the valuations to 31 March as appropriate.</w:t>
      </w:r>
    </w:p>
    <w:p w:rsidR="00CE58F0" w:rsidRDefault="00CE58F0" w:rsidP="00CE58F0">
      <w:pPr>
        <w:ind w:left="720"/>
        <w:rPr>
          <w:szCs w:val="24"/>
        </w:rPr>
      </w:pPr>
    </w:p>
    <w:p w:rsidR="00CE58F0" w:rsidRPr="000C2C6E" w:rsidRDefault="00CE58F0" w:rsidP="00CE58F0">
      <w:pPr>
        <w:autoSpaceDE w:val="0"/>
        <w:autoSpaceDN w:val="0"/>
        <w:ind w:left="709"/>
        <w:rPr>
          <w:sz w:val="22"/>
          <w:szCs w:val="22"/>
        </w:rPr>
      </w:pPr>
      <w:r w:rsidRPr="000C2C6E">
        <w:rPr>
          <w:szCs w:val="24"/>
        </w:rPr>
        <w:t xml:space="preserve">The overseas indirect property fund is valued monthly by external valuers, CB Richard Ellis (CBRE). CBRE are one of the largest firms of valuers in Europe, and are required to ensure that the assets in the Fund are valued each month at the current open market value, as defined by the RICS Appraisal and Valuation Standards. </w:t>
      </w:r>
      <w:r w:rsidRPr="000C2C6E">
        <w:t>The valuation methodology is also subject to independent review by E&amp;Y.</w:t>
      </w:r>
    </w:p>
    <w:p w:rsidR="00CE58F0" w:rsidRPr="00A258D9" w:rsidRDefault="00CE58F0" w:rsidP="00CE58F0">
      <w:pPr>
        <w:ind w:left="720"/>
        <w:rPr>
          <w:szCs w:val="24"/>
          <w:highlight w:val="yellow"/>
        </w:rPr>
      </w:pPr>
    </w:p>
    <w:p w:rsidR="00CE58F0" w:rsidRDefault="00CE58F0" w:rsidP="00CE58F0">
      <w:pPr>
        <w:ind w:left="720"/>
        <w:rPr>
          <w:szCs w:val="24"/>
        </w:rPr>
      </w:pPr>
      <w:r w:rsidRPr="006B620D">
        <w:rPr>
          <w:szCs w:val="24"/>
        </w:rPr>
        <w:t xml:space="preserve">The local authority bond value is based on a valuation technique that requires management judgement including </w:t>
      </w:r>
      <w:r w:rsidR="004534A9" w:rsidRPr="006B620D">
        <w:rPr>
          <w:szCs w:val="24"/>
        </w:rPr>
        <w:t>earnings</w:t>
      </w:r>
      <w:r w:rsidRPr="006B620D">
        <w:rPr>
          <w:szCs w:val="24"/>
        </w:rPr>
        <w:t xml:space="preserve"> multiples, public market comparables and estimated future cash flows.</w:t>
      </w:r>
    </w:p>
    <w:p w:rsidR="00CE58F0" w:rsidRPr="000637CA" w:rsidRDefault="00CE58F0" w:rsidP="00CE58F0">
      <w:pPr>
        <w:ind w:left="720"/>
        <w:rPr>
          <w:szCs w:val="24"/>
        </w:rPr>
      </w:pPr>
    </w:p>
    <w:p w:rsidR="00CE58F0" w:rsidRDefault="00CE58F0" w:rsidP="00CE58F0">
      <w:pPr>
        <w:ind w:left="720"/>
        <w:rPr>
          <w:szCs w:val="24"/>
        </w:rPr>
      </w:pPr>
      <w:r w:rsidRPr="000637CA">
        <w:rPr>
          <w:szCs w:val="24"/>
        </w:rPr>
        <w:t>The table below provides an analysis of the financial assets and liabilities of the Pension Fund grouped into level 1 to 3 based on the level of which the fair value</w:t>
      </w:r>
      <w:r>
        <w:rPr>
          <w:szCs w:val="24"/>
        </w:rPr>
        <w:t xml:space="preserve"> is observable.</w:t>
      </w:r>
    </w:p>
    <w:p w:rsidR="00CE58F0" w:rsidRDefault="00CE58F0" w:rsidP="00CE58F0">
      <w:pPr>
        <w:ind w:left="720"/>
        <w:rPr>
          <w:szCs w:val="24"/>
        </w:rPr>
      </w:pPr>
    </w:p>
    <w:tbl>
      <w:tblPr>
        <w:tblStyle w:val="TableGrid"/>
        <w:tblW w:w="1670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121"/>
        <w:gridCol w:w="1618"/>
        <w:gridCol w:w="672"/>
        <w:gridCol w:w="899"/>
        <w:gridCol w:w="632"/>
        <w:gridCol w:w="940"/>
        <w:gridCol w:w="755"/>
        <w:gridCol w:w="882"/>
        <w:gridCol w:w="181"/>
        <w:gridCol w:w="360"/>
        <w:gridCol w:w="1749"/>
        <w:gridCol w:w="1928"/>
        <w:gridCol w:w="1582"/>
        <w:gridCol w:w="1423"/>
      </w:tblGrid>
      <w:tr w:rsidR="00CE58F0" w:rsidTr="00413B8D">
        <w:trPr>
          <w:gridAfter w:val="5"/>
          <w:wAfter w:w="7042" w:type="dxa"/>
        </w:trPr>
        <w:tc>
          <w:tcPr>
            <w:tcW w:w="3080" w:type="dxa"/>
            <w:gridSpan w:val="2"/>
          </w:tcPr>
          <w:p w:rsidR="00CE58F0" w:rsidRPr="00FB0F1F" w:rsidRDefault="00CE58F0" w:rsidP="00413B8D">
            <w:pPr>
              <w:jc w:val="center"/>
              <w:rPr>
                <w:b/>
                <w:szCs w:val="24"/>
              </w:rPr>
            </w:pPr>
            <w:r>
              <w:rPr>
                <w:b/>
                <w:szCs w:val="24"/>
              </w:rPr>
              <w:t>31/03/14</w:t>
            </w:r>
          </w:p>
        </w:tc>
        <w:tc>
          <w:tcPr>
            <w:tcW w:w="1618" w:type="dxa"/>
          </w:tcPr>
          <w:p w:rsidR="00CE58F0" w:rsidRPr="00FB0F1F" w:rsidRDefault="00CE58F0" w:rsidP="00413B8D">
            <w:pPr>
              <w:jc w:val="right"/>
              <w:rPr>
                <w:b/>
                <w:szCs w:val="24"/>
              </w:rPr>
            </w:pPr>
            <w:r>
              <w:rPr>
                <w:b/>
                <w:szCs w:val="24"/>
              </w:rPr>
              <w:t>Level 1</w:t>
            </w:r>
          </w:p>
        </w:tc>
        <w:tc>
          <w:tcPr>
            <w:tcW w:w="1571" w:type="dxa"/>
            <w:gridSpan w:val="2"/>
          </w:tcPr>
          <w:p w:rsidR="00CE58F0" w:rsidRPr="00FB0F1F" w:rsidRDefault="00CE58F0" w:rsidP="00413B8D">
            <w:pPr>
              <w:jc w:val="right"/>
              <w:rPr>
                <w:b/>
                <w:szCs w:val="24"/>
              </w:rPr>
            </w:pPr>
            <w:r>
              <w:rPr>
                <w:b/>
                <w:szCs w:val="24"/>
              </w:rPr>
              <w:t>Level 2</w:t>
            </w:r>
          </w:p>
        </w:tc>
        <w:tc>
          <w:tcPr>
            <w:tcW w:w="1572" w:type="dxa"/>
            <w:gridSpan w:val="2"/>
          </w:tcPr>
          <w:p w:rsidR="00CE58F0" w:rsidRPr="00FB0F1F" w:rsidRDefault="00CE58F0" w:rsidP="00413B8D">
            <w:pPr>
              <w:jc w:val="right"/>
              <w:rPr>
                <w:b/>
                <w:szCs w:val="24"/>
              </w:rPr>
            </w:pPr>
            <w:r>
              <w:rPr>
                <w:b/>
                <w:szCs w:val="24"/>
              </w:rPr>
              <w:t>Level 3</w:t>
            </w:r>
          </w:p>
        </w:tc>
        <w:tc>
          <w:tcPr>
            <w:tcW w:w="1818" w:type="dxa"/>
            <w:gridSpan w:val="3"/>
          </w:tcPr>
          <w:p w:rsidR="00CE58F0" w:rsidRDefault="00CE58F0" w:rsidP="00413B8D">
            <w:pPr>
              <w:tabs>
                <w:tab w:val="left" w:pos="603"/>
              </w:tabs>
              <w:jc w:val="right"/>
              <w:rPr>
                <w:b/>
                <w:szCs w:val="24"/>
              </w:rPr>
            </w:pPr>
            <w:r>
              <w:rPr>
                <w:b/>
                <w:szCs w:val="24"/>
              </w:rPr>
              <w:t>Total</w:t>
            </w:r>
          </w:p>
        </w:tc>
      </w:tr>
      <w:tr w:rsidR="00CE58F0" w:rsidTr="00413B8D">
        <w:trPr>
          <w:gridAfter w:val="5"/>
          <w:wAfter w:w="7042" w:type="dxa"/>
        </w:trPr>
        <w:tc>
          <w:tcPr>
            <w:tcW w:w="3080" w:type="dxa"/>
            <w:gridSpan w:val="2"/>
          </w:tcPr>
          <w:p w:rsidR="00CE58F0" w:rsidRPr="00FB0F1F" w:rsidRDefault="00CE58F0" w:rsidP="00413B8D">
            <w:pPr>
              <w:rPr>
                <w:b/>
                <w:szCs w:val="24"/>
              </w:rPr>
            </w:pPr>
          </w:p>
        </w:tc>
        <w:tc>
          <w:tcPr>
            <w:tcW w:w="1618" w:type="dxa"/>
          </w:tcPr>
          <w:p w:rsidR="00CE58F0" w:rsidRPr="00FB0F1F" w:rsidRDefault="00CE58F0" w:rsidP="00413B8D">
            <w:pPr>
              <w:jc w:val="right"/>
              <w:rPr>
                <w:b/>
                <w:szCs w:val="24"/>
              </w:rPr>
            </w:pPr>
            <w:r>
              <w:rPr>
                <w:b/>
                <w:szCs w:val="24"/>
              </w:rPr>
              <w:t>£m</w:t>
            </w:r>
          </w:p>
        </w:tc>
        <w:tc>
          <w:tcPr>
            <w:tcW w:w="1571" w:type="dxa"/>
            <w:gridSpan w:val="2"/>
          </w:tcPr>
          <w:p w:rsidR="00CE58F0" w:rsidRPr="00FB0F1F" w:rsidRDefault="00CE58F0" w:rsidP="00413B8D">
            <w:pPr>
              <w:jc w:val="right"/>
              <w:rPr>
                <w:b/>
                <w:szCs w:val="24"/>
              </w:rPr>
            </w:pPr>
            <w:r>
              <w:rPr>
                <w:b/>
                <w:szCs w:val="24"/>
              </w:rPr>
              <w:t>£m</w:t>
            </w:r>
          </w:p>
        </w:tc>
        <w:tc>
          <w:tcPr>
            <w:tcW w:w="1572" w:type="dxa"/>
            <w:gridSpan w:val="2"/>
          </w:tcPr>
          <w:p w:rsidR="00CE58F0" w:rsidRPr="00FB0F1F" w:rsidRDefault="00CE58F0" w:rsidP="00413B8D">
            <w:pPr>
              <w:jc w:val="right"/>
              <w:rPr>
                <w:b/>
                <w:szCs w:val="24"/>
              </w:rPr>
            </w:pPr>
            <w:r>
              <w:rPr>
                <w:b/>
                <w:szCs w:val="24"/>
              </w:rPr>
              <w:t>£m</w:t>
            </w:r>
          </w:p>
        </w:tc>
        <w:tc>
          <w:tcPr>
            <w:tcW w:w="1818" w:type="dxa"/>
            <w:gridSpan w:val="3"/>
          </w:tcPr>
          <w:p w:rsidR="00CE58F0" w:rsidRDefault="00CE58F0" w:rsidP="00413B8D">
            <w:pPr>
              <w:tabs>
                <w:tab w:val="left" w:pos="603"/>
              </w:tabs>
              <w:jc w:val="right"/>
              <w:rPr>
                <w:b/>
                <w:szCs w:val="24"/>
              </w:rPr>
            </w:pPr>
            <w:r>
              <w:rPr>
                <w:b/>
                <w:szCs w:val="24"/>
              </w:rPr>
              <w:t>£m</w:t>
            </w:r>
          </w:p>
        </w:tc>
      </w:tr>
      <w:tr w:rsidR="00CE58F0" w:rsidTr="00413B8D">
        <w:trPr>
          <w:gridAfter w:val="5"/>
          <w:wAfter w:w="7042" w:type="dxa"/>
        </w:trPr>
        <w:tc>
          <w:tcPr>
            <w:tcW w:w="3080" w:type="dxa"/>
            <w:gridSpan w:val="2"/>
          </w:tcPr>
          <w:p w:rsidR="00CE58F0" w:rsidRPr="002903B7" w:rsidRDefault="00CE58F0" w:rsidP="00413B8D">
            <w:pPr>
              <w:spacing w:after="120"/>
              <w:rPr>
                <w:b/>
                <w:szCs w:val="24"/>
              </w:rPr>
            </w:pPr>
            <w:r w:rsidRPr="002903B7">
              <w:rPr>
                <w:b/>
                <w:szCs w:val="24"/>
              </w:rPr>
              <w:t>Financial assets</w:t>
            </w:r>
          </w:p>
        </w:tc>
        <w:tc>
          <w:tcPr>
            <w:tcW w:w="1618" w:type="dxa"/>
          </w:tcPr>
          <w:p w:rsidR="00CE58F0" w:rsidRDefault="00CE58F0" w:rsidP="00413B8D">
            <w:pPr>
              <w:spacing w:after="120"/>
              <w:jc w:val="right"/>
              <w:rPr>
                <w:szCs w:val="24"/>
              </w:rPr>
            </w:pPr>
          </w:p>
        </w:tc>
        <w:tc>
          <w:tcPr>
            <w:tcW w:w="1571" w:type="dxa"/>
            <w:gridSpan w:val="2"/>
          </w:tcPr>
          <w:p w:rsidR="00CE58F0" w:rsidRDefault="00CE58F0" w:rsidP="00413B8D">
            <w:pPr>
              <w:spacing w:after="120"/>
              <w:jc w:val="right"/>
              <w:rPr>
                <w:szCs w:val="24"/>
              </w:rPr>
            </w:pPr>
          </w:p>
        </w:tc>
        <w:tc>
          <w:tcPr>
            <w:tcW w:w="1572" w:type="dxa"/>
            <w:gridSpan w:val="2"/>
          </w:tcPr>
          <w:p w:rsidR="00CE58F0" w:rsidRDefault="00CE58F0" w:rsidP="00413B8D">
            <w:pPr>
              <w:spacing w:after="120"/>
              <w:jc w:val="right"/>
              <w:rPr>
                <w:szCs w:val="24"/>
              </w:rPr>
            </w:pPr>
          </w:p>
        </w:tc>
        <w:tc>
          <w:tcPr>
            <w:tcW w:w="1818" w:type="dxa"/>
            <w:gridSpan w:val="3"/>
          </w:tcPr>
          <w:p w:rsidR="00CE58F0" w:rsidRDefault="00CE58F0" w:rsidP="00413B8D">
            <w:pPr>
              <w:tabs>
                <w:tab w:val="left" w:pos="603"/>
              </w:tabs>
              <w:spacing w:after="120"/>
              <w:jc w:val="right"/>
              <w:rPr>
                <w:szCs w:val="24"/>
              </w:rPr>
            </w:pPr>
          </w:p>
        </w:tc>
      </w:tr>
      <w:tr w:rsidR="00CE58F0" w:rsidTr="00413B8D">
        <w:trPr>
          <w:gridAfter w:val="5"/>
          <w:wAfter w:w="7042" w:type="dxa"/>
        </w:trPr>
        <w:tc>
          <w:tcPr>
            <w:tcW w:w="3080" w:type="dxa"/>
            <w:gridSpan w:val="2"/>
          </w:tcPr>
          <w:p w:rsidR="00CE58F0" w:rsidRPr="00CA707F" w:rsidRDefault="00CE58F0" w:rsidP="00413B8D">
            <w:pPr>
              <w:spacing w:after="120"/>
              <w:rPr>
                <w:szCs w:val="24"/>
              </w:rPr>
            </w:pPr>
            <w:r>
              <w:rPr>
                <w:szCs w:val="24"/>
              </w:rPr>
              <w:lastRenderedPageBreak/>
              <w:t>Financial assets at fair value through profit and loss</w:t>
            </w:r>
          </w:p>
        </w:tc>
        <w:tc>
          <w:tcPr>
            <w:tcW w:w="1618" w:type="dxa"/>
          </w:tcPr>
          <w:p w:rsidR="00CE58F0" w:rsidRDefault="00CE58F0" w:rsidP="00413B8D">
            <w:pPr>
              <w:spacing w:after="120"/>
              <w:jc w:val="right"/>
              <w:rPr>
                <w:szCs w:val="24"/>
              </w:rPr>
            </w:pPr>
            <w:r>
              <w:rPr>
                <w:szCs w:val="24"/>
              </w:rPr>
              <w:t>3,314.6</w:t>
            </w:r>
          </w:p>
        </w:tc>
        <w:tc>
          <w:tcPr>
            <w:tcW w:w="1571" w:type="dxa"/>
            <w:gridSpan w:val="2"/>
          </w:tcPr>
          <w:p w:rsidR="00CE58F0" w:rsidRPr="00CA707F" w:rsidRDefault="00CE58F0" w:rsidP="00413B8D">
            <w:pPr>
              <w:spacing w:after="120"/>
              <w:jc w:val="right"/>
              <w:rPr>
                <w:szCs w:val="24"/>
              </w:rPr>
            </w:pPr>
            <w:r>
              <w:rPr>
                <w:szCs w:val="24"/>
              </w:rPr>
              <w:t>179.9</w:t>
            </w:r>
          </w:p>
        </w:tc>
        <w:tc>
          <w:tcPr>
            <w:tcW w:w="1572" w:type="dxa"/>
            <w:gridSpan w:val="2"/>
          </w:tcPr>
          <w:p w:rsidR="00CE58F0" w:rsidRPr="00CA707F" w:rsidRDefault="00CE58F0" w:rsidP="00413B8D">
            <w:pPr>
              <w:spacing w:after="120"/>
              <w:jc w:val="right"/>
              <w:rPr>
                <w:szCs w:val="24"/>
              </w:rPr>
            </w:pPr>
            <w:r>
              <w:rPr>
                <w:szCs w:val="24"/>
              </w:rPr>
              <w:t>929.9</w:t>
            </w:r>
          </w:p>
        </w:tc>
        <w:tc>
          <w:tcPr>
            <w:tcW w:w="1818" w:type="dxa"/>
            <w:gridSpan w:val="3"/>
          </w:tcPr>
          <w:p w:rsidR="00CE58F0" w:rsidRDefault="00CE58F0" w:rsidP="00413B8D">
            <w:pPr>
              <w:tabs>
                <w:tab w:val="left" w:pos="603"/>
              </w:tabs>
              <w:spacing w:after="120"/>
              <w:jc w:val="right"/>
              <w:rPr>
                <w:szCs w:val="24"/>
              </w:rPr>
            </w:pPr>
            <w:r>
              <w:rPr>
                <w:szCs w:val="24"/>
              </w:rPr>
              <w:t>4,424.4</w:t>
            </w:r>
          </w:p>
        </w:tc>
      </w:tr>
      <w:tr w:rsidR="00CE58F0" w:rsidTr="00413B8D">
        <w:trPr>
          <w:gridAfter w:val="5"/>
          <w:wAfter w:w="7042" w:type="dxa"/>
          <w:trHeight w:val="454"/>
        </w:trPr>
        <w:tc>
          <w:tcPr>
            <w:tcW w:w="3080" w:type="dxa"/>
            <w:gridSpan w:val="2"/>
          </w:tcPr>
          <w:p w:rsidR="00CE58F0" w:rsidRPr="00CA707F" w:rsidRDefault="00CE58F0" w:rsidP="00413B8D">
            <w:pPr>
              <w:spacing w:after="360"/>
              <w:rPr>
                <w:b/>
                <w:szCs w:val="24"/>
              </w:rPr>
            </w:pPr>
            <w:r w:rsidRPr="00CA707F">
              <w:rPr>
                <w:b/>
                <w:szCs w:val="24"/>
              </w:rPr>
              <w:t>Total Financial assets</w:t>
            </w:r>
          </w:p>
        </w:tc>
        <w:tc>
          <w:tcPr>
            <w:tcW w:w="1618" w:type="dxa"/>
          </w:tcPr>
          <w:p w:rsidR="00CE58F0" w:rsidRDefault="00CE58F0" w:rsidP="00413B8D">
            <w:pPr>
              <w:spacing w:after="120"/>
              <w:jc w:val="right"/>
              <w:rPr>
                <w:b/>
                <w:sz w:val="22"/>
                <w:szCs w:val="24"/>
              </w:rPr>
            </w:pPr>
            <w:r>
              <w:rPr>
                <w:b/>
                <w:sz w:val="22"/>
                <w:szCs w:val="24"/>
              </w:rPr>
              <w:t>3,314.6</w:t>
            </w:r>
          </w:p>
        </w:tc>
        <w:tc>
          <w:tcPr>
            <w:tcW w:w="1571" w:type="dxa"/>
            <w:gridSpan w:val="2"/>
          </w:tcPr>
          <w:p w:rsidR="00CE58F0" w:rsidRPr="00CA707F" w:rsidRDefault="00CE58F0" w:rsidP="00413B8D">
            <w:pPr>
              <w:spacing w:after="120"/>
              <w:jc w:val="right"/>
              <w:rPr>
                <w:b/>
                <w:szCs w:val="24"/>
              </w:rPr>
            </w:pPr>
            <w:r>
              <w:rPr>
                <w:b/>
                <w:szCs w:val="24"/>
              </w:rPr>
              <w:t>179.9</w:t>
            </w:r>
          </w:p>
        </w:tc>
        <w:tc>
          <w:tcPr>
            <w:tcW w:w="1572" w:type="dxa"/>
            <w:gridSpan w:val="2"/>
          </w:tcPr>
          <w:p w:rsidR="00CE58F0" w:rsidRPr="00CA707F" w:rsidRDefault="00CE58F0" w:rsidP="00413B8D">
            <w:pPr>
              <w:spacing w:after="120"/>
              <w:jc w:val="right"/>
              <w:rPr>
                <w:b/>
                <w:szCs w:val="24"/>
              </w:rPr>
            </w:pPr>
            <w:r>
              <w:rPr>
                <w:b/>
                <w:szCs w:val="24"/>
              </w:rPr>
              <w:t>929.9</w:t>
            </w:r>
          </w:p>
        </w:tc>
        <w:tc>
          <w:tcPr>
            <w:tcW w:w="1818" w:type="dxa"/>
            <w:gridSpan w:val="3"/>
          </w:tcPr>
          <w:p w:rsidR="00CE58F0" w:rsidRDefault="00CE58F0" w:rsidP="00413B8D">
            <w:pPr>
              <w:tabs>
                <w:tab w:val="left" w:pos="603"/>
              </w:tabs>
              <w:spacing w:after="120"/>
              <w:jc w:val="right"/>
              <w:rPr>
                <w:b/>
                <w:sz w:val="22"/>
                <w:szCs w:val="24"/>
              </w:rPr>
            </w:pPr>
            <w:r>
              <w:rPr>
                <w:b/>
                <w:sz w:val="22"/>
                <w:szCs w:val="24"/>
              </w:rPr>
              <w:t>4,424.4</w:t>
            </w:r>
          </w:p>
        </w:tc>
      </w:tr>
      <w:tr w:rsidR="003F1D86" w:rsidTr="00413B8D">
        <w:trPr>
          <w:gridAfter w:val="5"/>
          <w:wAfter w:w="7042" w:type="dxa"/>
          <w:trHeight w:val="454"/>
        </w:trPr>
        <w:tc>
          <w:tcPr>
            <w:tcW w:w="3080" w:type="dxa"/>
            <w:gridSpan w:val="2"/>
          </w:tcPr>
          <w:p w:rsidR="003F1D86" w:rsidRPr="00CA707F" w:rsidRDefault="003F1D86" w:rsidP="00413B8D">
            <w:pPr>
              <w:spacing w:after="360"/>
              <w:rPr>
                <w:b/>
                <w:szCs w:val="24"/>
              </w:rPr>
            </w:pPr>
          </w:p>
        </w:tc>
        <w:tc>
          <w:tcPr>
            <w:tcW w:w="1618" w:type="dxa"/>
          </w:tcPr>
          <w:p w:rsidR="003F1D86" w:rsidRDefault="003F1D86" w:rsidP="00413B8D">
            <w:pPr>
              <w:spacing w:after="120"/>
              <w:jc w:val="right"/>
              <w:rPr>
                <w:b/>
                <w:sz w:val="22"/>
                <w:szCs w:val="24"/>
              </w:rPr>
            </w:pPr>
          </w:p>
        </w:tc>
        <w:tc>
          <w:tcPr>
            <w:tcW w:w="1571" w:type="dxa"/>
            <w:gridSpan w:val="2"/>
          </w:tcPr>
          <w:p w:rsidR="003F1D86" w:rsidRDefault="003F1D86" w:rsidP="00413B8D">
            <w:pPr>
              <w:spacing w:after="120"/>
              <w:jc w:val="right"/>
              <w:rPr>
                <w:b/>
                <w:szCs w:val="24"/>
              </w:rPr>
            </w:pPr>
          </w:p>
        </w:tc>
        <w:tc>
          <w:tcPr>
            <w:tcW w:w="1572" w:type="dxa"/>
            <w:gridSpan w:val="2"/>
          </w:tcPr>
          <w:p w:rsidR="003F1D86" w:rsidRDefault="003F1D86" w:rsidP="00413B8D">
            <w:pPr>
              <w:spacing w:after="120"/>
              <w:jc w:val="right"/>
              <w:rPr>
                <w:b/>
                <w:szCs w:val="24"/>
              </w:rPr>
            </w:pPr>
          </w:p>
        </w:tc>
        <w:tc>
          <w:tcPr>
            <w:tcW w:w="1818" w:type="dxa"/>
            <w:gridSpan w:val="3"/>
          </w:tcPr>
          <w:p w:rsidR="003F1D86" w:rsidRDefault="003F1D86" w:rsidP="00413B8D">
            <w:pPr>
              <w:tabs>
                <w:tab w:val="left" w:pos="603"/>
              </w:tabs>
              <w:spacing w:after="120"/>
              <w:jc w:val="right"/>
              <w:rPr>
                <w:b/>
                <w:sz w:val="22"/>
                <w:szCs w:val="24"/>
              </w:rPr>
            </w:pP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Pr>
        <w:tc>
          <w:tcPr>
            <w:tcW w:w="3080" w:type="dxa"/>
            <w:gridSpan w:val="2"/>
            <w:tcBorders>
              <w:top w:val="nil"/>
              <w:left w:val="nil"/>
              <w:bottom w:val="nil"/>
              <w:right w:val="nil"/>
            </w:tcBorders>
          </w:tcPr>
          <w:p w:rsidR="00CE58F0" w:rsidRPr="002903B7" w:rsidRDefault="00CE58F0" w:rsidP="00413B8D">
            <w:pPr>
              <w:spacing w:after="120"/>
              <w:rPr>
                <w:b/>
                <w:szCs w:val="24"/>
              </w:rPr>
            </w:pPr>
            <w:r w:rsidRPr="002903B7">
              <w:rPr>
                <w:b/>
                <w:szCs w:val="24"/>
              </w:rPr>
              <w:t>Financial</w:t>
            </w:r>
            <w:r>
              <w:rPr>
                <w:b/>
                <w:szCs w:val="24"/>
              </w:rPr>
              <w:t xml:space="preserve"> Liabilities</w:t>
            </w:r>
          </w:p>
        </w:tc>
        <w:tc>
          <w:tcPr>
            <w:tcW w:w="1618" w:type="dxa"/>
            <w:tcBorders>
              <w:top w:val="nil"/>
              <w:left w:val="nil"/>
              <w:bottom w:val="nil"/>
              <w:right w:val="nil"/>
            </w:tcBorders>
          </w:tcPr>
          <w:p w:rsidR="00CE58F0" w:rsidRDefault="00CE58F0" w:rsidP="00413B8D">
            <w:pPr>
              <w:spacing w:after="120"/>
              <w:jc w:val="right"/>
              <w:rPr>
                <w:szCs w:val="24"/>
              </w:rPr>
            </w:pPr>
          </w:p>
        </w:tc>
        <w:tc>
          <w:tcPr>
            <w:tcW w:w="1571" w:type="dxa"/>
            <w:gridSpan w:val="2"/>
            <w:tcBorders>
              <w:top w:val="nil"/>
              <w:left w:val="nil"/>
              <w:bottom w:val="nil"/>
              <w:right w:val="nil"/>
            </w:tcBorders>
          </w:tcPr>
          <w:p w:rsidR="00CE58F0" w:rsidRDefault="00CE58F0" w:rsidP="00413B8D">
            <w:pPr>
              <w:spacing w:after="120"/>
              <w:jc w:val="right"/>
              <w:rPr>
                <w:szCs w:val="24"/>
              </w:rPr>
            </w:pPr>
          </w:p>
        </w:tc>
        <w:tc>
          <w:tcPr>
            <w:tcW w:w="1572" w:type="dxa"/>
            <w:gridSpan w:val="2"/>
            <w:tcBorders>
              <w:top w:val="nil"/>
              <w:left w:val="nil"/>
              <w:bottom w:val="nil"/>
              <w:right w:val="nil"/>
            </w:tcBorders>
          </w:tcPr>
          <w:p w:rsidR="00CE58F0" w:rsidRDefault="00CE58F0" w:rsidP="00413B8D">
            <w:pPr>
              <w:spacing w:after="120"/>
              <w:jc w:val="right"/>
              <w:rPr>
                <w:szCs w:val="24"/>
              </w:rPr>
            </w:pPr>
          </w:p>
        </w:tc>
        <w:tc>
          <w:tcPr>
            <w:tcW w:w="1818" w:type="dxa"/>
            <w:gridSpan w:val="3"/>
            <w:tcBorders>
              <w:top w:val="nil"/>
              <w:left w:val="nil"/>
              <w:bottom w:val="nil"/>
              <w:right w:val="nil"/>
            </w:tcBorders>
          </w:tcPr>
          <w:p w:rsidR="00CE58F0" w:rsidRDefault="00CE58F0" w:rsidP="00413B8D">
            <w:pPr>
              <w:tabs>
                <w:tab w:val="left" w:pos="603"/>
              </w:tabs>
              <w:spacing w:after="120"/>
              <w:jc w:val="right"/>
              <w:rPr>
                <w:szCs w:val="24"/>
              </w:rPr>
            </w:pP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Pr>
        <w:tc>
          <w:tcPr>
            <w:tcW w:w="3080" w:type="dxa"/>
            <w:gridSpan w:val="2"/>
            <w:tcBorders>
              <w:top w:val="nil"/>
              <w:left w:val="nil"/>
              <w:bottom w:val="nil"/>
              <w:right w:val="nil"/>
            </w:tcBorders>
          </w:tcPr>
          <w:p w:rsidR="00CE58F0" w:rsidRPr="00CA707F" w:rsidRDefault="00CE58F0" w:rsidP="00413B8D">
            <w:pPr>
              <w:spacing w:after="120"/>
              <w:rPr>
                <w:szCs w:val="24"/>
              </w:rPr>
            </w:pPr>
            <w:r>
              <w:rPr>
                <w:szCs w:val="24"/>
              </w:rPr>
              <w:t>Financial liabilities at fair value through profit and loss</w:t>
            </w:r>
          </w:p>
        </w:tc>
        <w:tc>
          <w:tcPr>
            <w:tcW w:w="1618" w:type="dxa"/>
            <w:tcBorders>
              <w:top w:val="nil"/>
              <w:left w:val="nil"/>
              <w:bottom w:val="nil"/>
              <w:right w:val="nil"/>
            </w:tcBorders>
          </w:tcPr>
          <w:p w:rsidR="00CE58F0" w:rsidRPr="00CA707F" w:rsidRDefault="00CE58F0" w:rsidP="00413B8D">
            <w:pPr>
              <w:spacing w:after="120"/>
              <w:jc w:val="right"/>
              <w:rPr>
                <w:szCs w:val="24"/>
              </w:rPr>
            </w:pPr>
            <w:r>
              <w:rPr>
                <w:szCs w:val="24"/>
              </w:rPr>
              <w:t>21.3</w:t>
            </w:r>
          </w:p>
        </w:tc>
        <w:tc>
          <w:tcPr>
            <w:tcW w:w="1571" w:type="dxa"/>
            <w:gridSpan w:val="2"/>
            <w:tcBorders>
              <w:top w:val="nil"/>
              <w:left w:val="nil"/>
              <w:bottom w:val="nil"/>
              <w:right w:val="nil"/>
            </w:tcBorders>
          </w:tcPr>
          <w:p w:rsidR="00CE58F0" w:rsidRPr="00CA707F" w:rsidRDefault="00CE58F0" w:rsidP="00413B8D">
            <w:pPr>
              <w:spacing w:after="120"/>
              <w:jc w:val="right"/>
              <w:rPr>
                <w:szCs w:val="24"/>
              </w:rPr>
            </w:pPr>
            <w:r>
              <w:rPr>
                <w:szCs w:val="24"/>
              </w:rPr>
              <w:t>-</w:t>
            </w:r>
          </w:p>
        </w:tc>
        <w:tc>
          <w:tcPr>
            <w:tcW w:w="1572" w:type="dxa"/>
            <w:gridSpan w:val="2"/>
            <w:tcBorders>
              <w:top w:val="nil"/>
              <w:left w:val="nil"/>
              <w:bottom w:val="nil"/>
              <w:right w:val="nil"/>
            </w:tcBorders>
          </w:tcPr>
          <w:p w:rsidR="00CE58F0" w:rsidRPr="00CA707F" w:rsidRDefault="00CE58F0" w:rsidP="00413B8D">
            <w:pPr>
              <w:spacing w:after="120"/>
              <w:jc w:val="right"/>
              <w:rPr>
                <w:szCs w:val="24"/>
              </w:rPr>
            </w:pPr>
            <w:r>
              <w:rPr>
                <w:szCs w:val="24"/>
              </w:rPr>
              <w:t>-</w:t>
            </w:r>
          </w:p>
        </w:tc>
        <w:tc>
          <w:tcPr>
            <w:tcW w:w="1818" w:type="dxa"/>
            <w:gridSpan w:val="3"/>
            <w:tcBorders>
              <w:top w:val="nil"/>
              <w:left w:val="nil"/>
              <w:bottom w:val="nil"/>
              <w:right w:val="nil"/>
            </w:tcBorders>
          </w:tcPr>
          <w:p w:rsidR="00CE58F0" w:rsidRDefault="00CE58F0" w:rsidP="00413B8D">
            <w:pPr>
              <w:tabs>
                <w:tab w:val="left" w:pos="603"/>
              </w:tabs>
              <w:spacing w:after="120"/>
              <w:jc w:val="right"/>
              <w:rPr>
                <w:szCs w:val="24"/>
              </w:rPr>
            </w:pPr>
            <w:r>
              <w:rPr>
                <w:szCs w:val="24"/>
              </w:rPr>
              <w:t>21.3</w:t>
            </w: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Height w:val="862"/>
        </w:trPr>
        <w:tc>
          <w:tcPr>
            <w:tcW w:w="3080" w:type="dxa"/>
            <w:gridSpan w:val="2"/>
            <w:tcBorders>
              <w:top w:val="nil"/>
              <w:left w:val="nil"/>
              <w:bottom w:val="nil"/>
              <w:right w:val="nil"/>
            </w:tcBorders>
          </w:tcPr>
          <w:p w:rsidR="00CE58F0" w:rsidRPr="00CA707F" w:rsidRDefault="00CE58F0" w:rsidP="00413B8D">
            <w:pPr>
              <w:spacing w:after="120"/>
              <w:rPr>
                <w:b/>
                <w:szCs w:val="24"/>
              </w:rPr>
            </w:pPr>
            <w:r w:rsidRPr="00CA707F">
              <w:rPr>
                <w:b/>
                <w:szCs w:val="24"/>
              </w:rPr>
              <w:t xml:space="preserve">Total Financial </w:t>
            </w:r>
            <w:r>
              <w:rPr>
                <w:b/>
                <w:szCs w:val="24"/>
              </w:rPr>
              <w:t>Liabilities</w:t>
            </w:r>
          </w:p>
        </w:tc>
        <w:tc>
          <w:tcPr>
            <w:tcW w:w="1618" w:type="dxa"/>
            <w:tcBorders>
              <w:top w:val="nil"/>
              <w:left w:val="nil"/>
              <w:bottom w:val="nil"/>
              <w:right w:val="nil"/>
            </w:tcBorders>
          </w:tcPr>
          <w:p w:rsidR="00CE58F0" w:rsidRDefault="00CE58F0" w:rsidP="00413B8D">
            <w:pPr>
              <w:spacing w:after="120"/>
              <w:jc w:val="right"/>
              <w:rPr>
                <w:b/>
                <w:szCs w:val="24"/>
              </w:rPr>
            </w:pPr>
            <w:r>
              <w:rPr>
                <w:b/>
                <w:szCs w:val="24"/>
              </w:rPr>
              <w:t>21.3</w:t>
            </w:r>
          </w:p>
        </w:tc>
        <w:tc>
          <w:tcPr>
            <w:tcW w:w="1571" w:type="dxa"/>
            <w:gridSpan w:val="2"/>
            <w:tcBorders>
              <w:top w:val="nil"/>
              <w:left w:val="nil"/>
              <w:bottom w:val="nil"/>
              <w:right w:val="nil"/>
            </w:tcBorders>
          </w:tcPr>
          <w:p w:rsidR="00CE58F0" w:rsidRPr="00CA707F" w:rsidRDefault="00CE58F0" w:rsidP="00413B8D">
            <w:pPr>
              <w:spacing w:after="120"/>
              <w:jc w:val="right"/>
              <w:rPr>
                <w:b/>
                <w:szCs w:val="24"/>
              </w:rPr>
            </w:pPr>
            <w:r>
              <w:rPr>
                <w:b/>
                <w:szCs w:val="24"/>
              </w:rPr>
              <w:t>-</w:t>
            </w:r>
          </w:p>
        </w:tc>
        <w:tc>
          <w:tcPr>
            <w:tcW w:w="1572" w:type="dxa"/>
            <w:gridSpan w:val="2"/>
            <w:tcBorders>
              <w:top w:val="nil"/>
              <w:left w:val="nil"/>
              <w:bottom w:val="nil"/>
              <w:right w:val="nil"/>
            </w:tcBorders>
          </w:tcPr>
          <w:p w:rsidR="00CE58F0" w:rsidRPr="00CA707F" w:rsidRDefault="00CE58F0" w:rsidP="00413B8D">
            <w:pPr>
              <w:spacing w:after="120"/>
              <w:jc w:val="right"/>
              <w:rPr>
                <w:b/>
                <w:szCs w:val="24"/>
              </w:rPr>
            </w:pPr>
            <w:r>
              <w:rPr>
                <w:b/>
                <w:szCs w:val="24"/>
              </w:rPr>
              <w:t>-</w:t>
            </w:r>
          </w:p>
        </w:tc>
        <w:tc>
          <w:tcPr>
            <w:tcW w:w="1818" w:type="dxa"/>
            <w:gridSpan w:val="3"/>
            <w:tcBorders>
              <w:top w:val="nil"/>
              <w:left w:val="nil"/>
              <w:bottom w:val="nil"/>
              <w:right w:val="nil"/>
            </w:tcBorders>
          </w:tcPr>
          <w:p w:rsidR="00CE58F0" w:rsidRDefault="00CE58F0" w:rsidP="00413B8D">
            <w:pPr>
              <w:tabs>
                <w:tab w:val="left" w:pos="603"/>
              </w:tabs>
              <w:spacing w:after="120"/>
              <w:jc w:val="right"/>
              <w:rPr>
                <w:b/>
                <w:szCs w:val="24"/>
              </w:rPr>
            </w:pPr>
            <w:r>
              <w:rPr>
                <w:b/>
                <w:szCs w:val="24"/>
              </w:rPr>
              <w:t>21.3</w:t>
            </w:r>
          </w:p>
          <w:p w:rsidR="00CE58F0" w:rsidRDefault="00CE58F0" w:rsidP="00413B8D">
            <w:pPr>
              <w:tabs>
                <w:tab w:val="left" w:pos="603"/>
              </w:tabs>
              <w:spacing w:after="120"/>
              <w:jc w:val="right"/>
              <w:rPr>
                <w:b/>
                <w:szCs w:val="24"/>
              </w:rPr>
            </w:pPr>
          </w:p>
        </w:tc>
      </w:tr>
      <w:tr w:rsidR="00CE58F0" w:rsidTr="00413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Height w:val="279"/>
        </w:trPr>
        <w:tc>
          <w:tcPr>
            <w:tcW w:w="3080" w:type="dxa"/>
            <w:gridSpan w:val="2"/>
            <w:tcBorders>
              <w:top w:val="nil"/>
              <w:left w:val="nil"/>
              <w:bottom w:val="nil"/>
              <w:right w:val="nil"/>
            </w:tcBorders>
          </w:tcPr>
          <w:p w:rsidR="00CE58F0" w:rsidRPr="00FB0F1F" w:rsidRDefault="00CE58F0" w:rsidP="00413B8D">
            <w:pPr>
              <w:jc w:val="center"/>
              <w:rPr>
                <w:b/>
                <w:szCs w:val="24"/>
              </w:rPr>
            </w:pPr>
            <w:r>
              <w:rPr>
                <w:b/>
                <w:szCs w:val="24"/>
              </w:rPr>
              <w:t>31/03/13</w:t>
            </w:r>
          </w:p>
        </w:tc>
        <w:tc>
          <w:tcPr>
            <w:tcW w:w="1618" w:type="dxa"/>
            <w:tcBorders>
              <w:top w:val="nil"/>
              <w:left w:val="nil"/>
              <w:bottom w:val="nil"/>
              <w:right w:val="nil"/>
            </w:tcBorders>
          </w:tcPr>
          <w:p w:rsidR="00CE58F0" w:rsidRPr="00FB0F1F" w:rsidRDefault="00CE58F0" w:rsidP="00413B8D">
            <w:pPr>
              <w:jc w:val="right"/>
              <w:rPr>
                <w:b/>
                <w:szCs w:val="24"/>
              </w:rPr>
            </w:pPr>
            <w:r>
              <w:rPr>
                <w:b/>
                <w:szCs w:val="24"/>
              </w:rPr>
              <w:t>*Level 1</w:t>
            </w:r>
          </w:p>
        </w:tc>
        <w:tc>
          <w:tcPr>
            <w:tcW w:w="1571" w:type="dxa"/>
            <w:gridSpan w:val="2"/>
            <w:tcBorders>
              <w:top w:val="nil"/>
              <w:left w:val="nil"/>
              <w:bottom w:val="nil"/>
              <w:right w:val="nil"/>
            </w:tcBorders>
          </w:tcPr>
          <w:p w:rsidR="00CE58F0" w:rsidRPr="00FB0F1F" w:rsidRDefault="00CE58F0" w:rsidP="00413B8D">
            <w:pPr>
              <w:jc w:val="right"/>
              <w:rPr>
                <w:b/>
                <w:szCs w:val="24"/>
              </w:rPr>
            </w:pPr>
            <w:r>
              <w:rPr>
                <w:b/>
                <w:szCs w:val="24"/>
              </w:rPr>
              <w:t>*Level 2</w:t>
            </w:r>
          </w:p>
        </w:tc>
        <w:tc>
          <w:tcPr>
            <w:tcW w:w="1572" w:type="dxa"/>
            <w:gridSpan w:val="2"/>
            <w:tcBorders>
              <w:top w:val="nil"/>
              <w:left w:val="nil"/>
              <w:bottom w:val="nil"/>
              <w:right w:val="nil"/>
            </w:tcBorders>
          </w:tcPr>
          <w:p w:rsidR="00CE58F0" w:rsidRPr="00FB0F1F" w:rsidRDefault="00CE58F0" w:rsidP="00413B8D">
            <w:pPr>
              <w:jc w:val="right"/>
              <w:rPr>
                <w:b/>
                <w:szCs w:val="24"/>
              </w:rPr>
            </w:pPr>
            <w:r>
              <w:rPr>
                <w:b/>
                <w:szCs w:val="24"/>
              </w:rPr>
              <w:t>*Level 3</w:t>
            </w:r>
          </w:p>
        </w:tc>
        <w:tc>
          <w:tcPr>
            <w:tcW w:w="1818" w:type="dxa"/>
            <w:gridSpan w:val="3"/>
            <w:tcBorders>
              <w:top w:val="nil"/>
              <w:left w:val="nil"/>
              <w:bottom w:val="nil"/>
              <w:right w:val="nil"/>
            </w:tcBorders>
          </w:tcPr>
          <w:p w:rsidR="00CE58F0" w:rsidRDefault="00CE58F0" w:rsidP="00413B8D">
            <w:pPr>
              <w:tabs>
                <w:tab w:val="left" w:pos="603"/>
              </w:tabs>
              <w:jc w:val="right"/>
              <w:rPr>
                <w:b/>
                <w:szCs w:val="24"/>
              </w:rPr>
            </w:pPr>
            <w:r>
              <w:rPr>
                <w:b/>
                <w:szCs w:val="24"/>
              </w:rPr>
              <w:t>Total</w:t>
            </w:r>
          </w:p>
        </w:tc>
      </w:tr>
      <w:tr w:rsidR="00CE58F0" w:rsidTr="00413B8D">
        <w:trPr>
          <w:gridAfter w:val="5"/>
          <w:wAfter w:w="7042" w:type="dxa"/>
          <w:trHeight w:val="417"/>
        </w:trPr>
        <w:tc>
          <w:tcPr>
            <w:tcW w:w="3080" w:type="dxa"/>
            <w:gridSpan w:val="2"/>
          </w:tcPr>
          <w:p w:rsidR="00CE58F0" w:rsidRPr="00FB0F1F" w:rsidRDefault="00CE58F0" w:rsidP="00413B8D">
            <w:pPr>
              <w:rPr>
                <w:b/>
                <w:szCs w:val="24"/>
              </w:rPr>
            </w:pPr>
          </w:p>
        </w:tc>
        <w:tc>
          <w:tcPr>
            <w:tcW w:w="1618" w:type="dxa"/>
          </w:tcPr>
          <w:p w:rsidR="00CE58F0" w:rsidRPr="00FB0F1F" w:rsidRDefault="00CE58F0" w:rsidP="00413B8D">
            <w:pPr>
              <w:jc w:val="right"/>
              <w:rPr>
                <w:b/>
                <w:szCs w:val="24"/>
              </w:rPr>
            </w:pPr>
            <w:r>
              <w:rPr>
                <w:b/>
                <w:szCs w:val="24"/>
              </w:rPr>
              <w:t>£m</w:t>
            </w:r>
          </w:p>
        </w:tc>
        <w:tc>
          <w:tcPr>
            <w:tcW w:w="1571" w:type="dxa"/>
            <w:gridSpan w:val="2"/>
          </w:tcPr>
          <w:p w:rsidR="00CE58F0" w:rsidRPr="00FB0F1F" w:rsidRDefault="00CE58F0" w:rsidP="00413B8D">
            <w:pPr>
              <w:jc w:val="right"/>
              <w:rPr>
                <w:b/>
                <w:szCs w:val="24"/>
              </w:rPr>
            </w:pPr>
            <w:r>
              <w:rPr>
                <w:b/>
                <w:szCs w:val="24"/>
              </w:rPr>
              <w:t>£m</w:t>
            </w:r>
          </w:p>
        </w:tc>
        <w:tc>
          <w:tcPr>
            <w:tcW w:w="1572" w:type="dxa"/>
            <w:gridSpan w:val="2"/>
          </w:tcPr>
          <w:p w:rsidR="00CE58F0" w:rsidRPr="00FB0F1F" w:rsidRDefault="00CE58F0" w:rsidP="00413B8D">
            <w:pPr>
              <w:jc w:val="right"/>
              <w:rPr>
                <w:b/>
                <w:szCs w:val="24"/>
              </w:rPr>
            </w:pPr>
            <w:r>
              <w:rPr>
                <w:b/>
                <w:szCs w:val="24"/>
              </w:rPr>
              <w:t>£m</w:t>
            </w:r>
          </w:p>
        </w:tc>
        <w:tc>
          <w:tcPr>
            <w:tcW w:w="1818" w:type="dxa"/>
            <w:gridSpan w:val="3"/>
          </w:tcPr>
          <w:p w:rsidR="00CE58F0" w:rsidRDefault="00CE58F0" w:rsidP="00413B8D">
            <w:pPr>
              <w:tabs>
                <w:tab w:val="left" w:pos="603"/>
              </w:tabs>
              <w:jc w:val="right"/>
              <w:rPr>
                <w:b/>
                <w:szCs w:val="24"/>
              </w:rPr>
            </w:pPr>
            <w:r>
              <w:rPr>
                <w:b/>
                <w:szCs w:val="24"/>
              </w:rPr>
              <w:t>£m</w:t>
            </w:r>
          </w:p>
        </w:tc>
      </w:tr>
      <w:tr w:rsidR="00CE58F0" w:rsidTr="00413B8D">
        <w:trPr>
          <w:gridAfter w:val="5"/>
          <w:wAfter w:w="7042" w:type="dxa"/>
          <w:trHeight w:val="283"/>
        </w:trPr>
        <w:tc>
          <w:tcPr>
            <w:tcW w:w="3080" w:type="dxa"/>
            <w:gridSpan w:val="2"/>
          </w:tcPr>
          <w:p w:rsidR="00CE58F0" w:rsidRPr="002903B7" w:rsidRDefault="00CE58F0" w:rsidP="00413B8D">
            <w:pPr>
              <w:spacing w:after="120"/>
              <w:rPr>
                <w:b/>
                <w:szCs w:val="24"/>
              </w:rPr>
            </w:pPr>
            <w:r w:rsidRPr="002903B7">
              <w:rPr>
                <w:b/>
                <w:szCs w:val="24"/>
              </w:rPr>
              <w:t>Financial assets</w:t>
            </w:r>
          </w:p>
        </w:tc>
        <w:tc>
          <w:tcPr>
            <w:tcW w:w="1618" w:type="dxa"/>
          </w:tcPr>
          <w:p w:rsidR="00CE58F0" w:rsidRDefault="00CE58F0" w:rsidP="00413B8D">
            <w:pPr>
              <w:spacing w:after="120"/>
              <w:jc w:val="right"/>
              <w:rPr>
                <w:szCs w:val="24"/>
              </w:rPr>
            </w:pPr>
          </w:p>
        </w:tc>
        <w:tc>
          <w:tcPr>
            <w:tcW w:w="1571" w:type="dxa"/>
            <w:gridSpan w:val="2"/>
          </w:tcPr>
          <w:p w:rsidR="00CE58F0" w:rsidRDefault="00CE58F0" w:rsidP="00413B8D">
            <w:pPr>
              <w:spacing w:after="120"/>
              <w:jc w:val="right"/>
              <w:rPr>
                <w:szCs w:val="24"/>
              </w:rPr>
            </w:pPr>
          </w:p>
        </w:tc>
        <w:tc>
          <w:tcPr>
            <w:tcW w:w="1572" w:type="dxa"/>
            <w:gridSpan w:val="2"/>
          </w:tcPr>
          <w:p w:rsidR="00CE58F0" w:rsidRDefault="00CE58F0" w:rsidP="00413B8D">
            <w:pPr>
              <w:spacing w:after="120"/>
              <w:jc w:val="right"/>
              <w:rPr>
                <w:szCs w:val="24"/>
              </w:rPr>
            </w:pPr>
          </w:p>
        </w:tc>
        <w:tc>
          <w:tcPr>
            <w:tcW w:w="1818" w:type="dxa"/>
            <w:gridSpan w:val="3"/>
          </w:tcPr>
          <w:p w:rsidR="00CE58F0" w:rsidRDefault="00CE58F0" w:rsidP="00413B8D">
            <w:pPr>
              <w:tabs>
                <w:tab w:val="left" w:pos="603"/>
              </w:tabs>
              <w:spacing w:after="120"/>
              <w:jc w:val="right"/>
              <w:rPr>
                <w:szCs w:val="24"/>
              </w:rPr>
            </w:pPr>
          </w:p>
        </w:tc>
      </w:tr>
      <w:tr w:rsidR="00CE58F0" w:rsidTr="00413B8D">
        <w:trPr>
          <w:gridAfter w:val="5"/>
          <w:wAfter w:w="7042" w:type="dxa"/>
          <w:trHeight w:val="417"/>
        </w:trPr>
        <w:tc>
          <w:tcPr>
            <w:tcW w:w="3080" w:type="dxa"/>
            <w:gridSpan w:val="2"/>
          </w:tcPr>
          <w:p w:rsidR="00CE58F0" w:rsidRPr="00CA707F" w:rsidRDefault="00CE58F0" w:rsidP="00413B8D">
            <w:pPr>
              <w:spacing w:after="120"/>
              <w:rPr>
                <w:szCs w:val="24"/>
              </w:rPr>
            </w:pPr>
            <w:r>
              <w:rPr>
                <w:szCs w:val="24"/>
              </w:rPr>
              <w:t>Financial assets at fair value through profit and loss</w:t>
            </w:r>
          </w:p>
        </w:tc>
        <w:tc>
          <w:tcPr>
            <w:tcW w:w="1618" w:type="dxa"/>
          </w:tcPr>
          <w:p w:rsidR="00CE58F0" w:rsidRDefault="00CE58F0" w:rsidP="00413B8D">
            <w:pPr>
              <w:spacing w:after="120"/>
              <w:jc w:val="right"/>
              <w:rPr>
                <w:szCs w:val="24"/>
              </w:rPr>
            </w:pPr>
            <w:r>
              <w:rPr>
                <w:szCs w:val="24"/>
              </w:rPr>
              <w:t>*2,881.5</w:t>
            </w:r>
          </w:p>
        </w:tc>
        <w:tc>
          <w:tcPr>
            <w:tcW w:w="1571" w:type="dxa"/>
            <w:gridSpan w:val="2"/>
          </w:tcPr>
          <w:p w:rsidR="00CE58F0" w:rsidRPr="00CA707F" w:rsidRDefault="00CE58F0" w:rsidP="00413B8D">
            <w:pPr>
              <w:spacing w:after="120"/>
              <w:jc w:val="right"/>
              <w:rPr>
                <w:szCs w:val="24"/>
              </w:rPr>
            </w:pPr>
            <w:r>
              <w:rPr>
                <w:szCs w:val="24"/>
              </w:rPr>
              <w:t>*977.1</w:t>
            </w:r>
          </w:p>
        </w:tc>
        <w:tc>
          <w:tcPr>
            <w:tcW w:w="1572" w:type="dxa"/>
            <w:gridSpan w:val="2"/>
          </w:tcPr>
          <w:p w:rsidR="00CE58F0" w:rsidRPr="00CA707F" w:rsidRDefault="00CE58F0" w:rsidP="00413B8D">
            <w:pPr>
              <w:spacing w:after="120"/>
              <w:jc w:val="right"/>
              <w:rPr>
                <w:szCs w:val="24"/>
              </w:rPr>
            </w:pPr>
            <w:r>
              <w:rPr>
                <w:szCs w:val="24"/>
              </w:rPr>
              <w:t>*648.3</w:t>
            </w:r>
          </w:p>
        </w:tc>
        <w:tc>
          <w:tcPr>
            <w:tcW w:w="1818" w:type="dxa"/>
            <w:gridSpan w:val="3"/>
          </w:tcPr>
          <w:p w:rsidR="00CE58F0" w:rsidRDefault="00CE58F0" w:rsidP="00413B8D">
            <w:pPr>
              <w:tabs>
                <w:tab w:val="left" w:pos="603"/>
              </w:tabs>
              <w:spacing w:after="120"/>
              <w:jc w:val="right"/>
              <w:rPr>
                <w:szCs w:val="24"/>
              </w:rPr>
            </w:pPr>
            <w:r>
              <w:rPr>
                <w:szCs w:val="24"/>
              </w:rPr>
              <w:t>4,506.9</w:t>
            </w:r>
          </w:p>
        </w:tc>
      </w:tr>
      <w:tr w:rsidR="00CE58F0" w:rsidTr="00413B8D">
        <w:trPr>
          <w:gridAfter w:val="5"/>
          <w:wAfter w:w="7042" w:type="dxa"/>
        </w:trPr>
        <w:tc>
          <w:tcPr>
            <w:tcW w:w="3080" w:type="dxa"/>
            <w:gridSpan w:val="2"/>
          </w:tcPr>
          <w:p w:rsidR="00CE58F0" w:rsidRPr="00CA707F" w:rsidRDefault="00CE58F0" w:rsidP="00413B8D">
            <w:pPr>
              <w:spacing w:after="360"/>
              <w:rPr>
                <w:b/>
                <w:szCs w:val="24"/>
              </w:rPr>
            </w:pPr>
            <w:r w:rsidRPr="00CA707F">
              <w:rPr>
                <w:b/>
                <w:szCs w:val="24"/>
              </w:rPr>
              <w:t>Total Financial assets</w:t>
            </w:r>
          </w:p>
        </w:tc>
        <w:tc>
          <w:tcPr>
            <w:tcW w:w="1618" w:type="dxa"/>
          </w:tcPr>
          <w:p w:rsidR="00CE58F0" w:rsidRDefault="00CE58F0" w:rsidP="00413B8D">
            <w:pPr>
              <w:spacing w:after="120"/>
              <w:jc w:val="right"/>
              <w:rPr>
                <w:b/>
                <w:sz w:val="22"/>
                <w:szCs w:val="24"/>
              </w:rPr>
            </w:pPr>
            <w:r>
              <w:rPr>
                <w:b/>
                <w:sz w:val="22"/>
                <w:szCs w:val="24"/>
              </w:rPr>
              <w:t>2,881.5</w:t>
            </w:r>
          </w:p>
        </w:tc>
        <w:tc>
          <w:tcPr>
            <w:tcW w:w="1571" w:type="dxa"/>
            <w:gridSpan w:val="2"/>
          </w:tcPr>
          <w:p w:rsidR="00CE58F0" w:rsidRPr="00CA707F" w:rsidRDefault="00CE58F0" w:rsidP="00413B8D">
            <w:pPr>
              <w:spacing w:after="120"/>
              <w:jc w:val="right"/>
              <w:rPr>
                <w:b/>
                <w:szCs w:val="24"/>
              </w:rPr>
            </w:pPr>
            <w:r>
              <w:rPr>
                <w:b/>
                <w:szCs w:val="24"/>
              </w:rPr>
              <w:t>977.1</w:t>
            </w:r>
          </w:p>
        </w:tc>
        <w:tc>
          <w:tcPr>
            <w:tcW w:w="1572" w:type="dxa"/>
            <w:gridSpan w:val="2"/>
          </w:tcPr>
          <w:p w:rsidR="00CE58F0" w:rsidRPr="00CA707F" w:rsidRDefault="00CE58F0" w:rsidP="00413B8D">
            <w:pPr>
              <w:spacing w:after="120"/>
              <w:jc w:val="right"/>
              <w:rPr>
                <w:b/>
                <w:szCs w:val="24"/>
              </w:rPr>
            </w:pPr>
            <w:r>
              <w:rPr>
                <w:b/>
                <w:szCs w:val="24"/>
              </w:rPr>
              <w:t>648.3</w:t>
            </w:r>
          </w:p>
        </w:tc>
        <w:tc>
          <w:tcPr>
            <w:tcW w:w="1818" w:type="dxa"/>
            <w:gridSpan w:val="3"/>
          </w:tcPr>
          <w:p w:rsidR="00CE58F0" w:rsidRDefault="00CE58F0" w:rsidP="00413B8D">
            <w:pPr>
              <w:tabs>
                <w:tab w:val="left" w:pos="603"/>
              </w:tabs>
              <w:spacing w:after="120"/>
              <w:jc w:val="right"/>
              <w:rPr>
                <w:b/>
                <w:sz w:val="22"/>
                <w:szCs w:val="24"/>
              </w:rPr>
            </w:pPr>
            <w:r>
              <w:rPr>
                <w:b/>
                <w:szCs w:val="24"/>
              </w:rPr>
              <w:t>4,506.9</w:t>
            </w:r>
          </w:p>
        </w:tc>
      </w:tr>
      <w:tr w:rsidR="00CE58F0" w:rsidTr="00413B8D">
        <w:trPr>
          <w:gridAfter w:val="5"/>
          <w:wAfter w:w="7042" w:type="dxa"/>
        </w:trPr>
        <w:tc>
          <w:tcPr>
            <w:tcW w:w="3080" w:type="dxa"/>
            <w:gridSpan w:val="2"/>
          </w:tcPr>
          <w:p w:rsidR="00CE58F0" w:rsidRPr="002903B7" w:rsidRDefault="00CE58F0" w:rsidP="00413B8D">
            <w:pPr>
              <w:spacing w:after="120"/>
              <w:rPr>
                <w:b/>
                <w:szCs w:val="24"/>
              </w:rPr>
            </w:pPr>
            <w:r w:rsidRPr="002903B7">
              <w:rPr>
                <w:b/>
                <w:szCs w:val="24"/>
              </w:rPr>
              <w:t>Financial</w:t>
            </w:r>
            <w:r>
              <w:rPr>
                <w:b/>
                <w:szCs w:val="24"/>
              </w:rPr>
              <w:t xml:space="preserve"> Liabilities</w:t>
            </w:r>
          </w:p>
        </w:tc>
        <w:tc>
          <w:tcPr>
            <w:tcW w:w="1618" w:type="dxa"/>
          </w:tcPr>
          <w:p w:rsidR="00CE58F0" w:rsidRDefault="00CE58F0" w:rsidP="00413B8D">
            <w:pPr>
              <w:spacing w:after="120"/>
              <w:jc w:val="right"/>
              <w:rPr>
                <w:szCs w:val="24"/>
              </w:rPr>
            </w:pPr>
          </w:p>
        </w:tc>
        <w:tc>
          <w:tcPr>
            <w:tcW w:w="1571" w:type="dxa"/>
            <w:gridSpan w:val="2"/>
          </w:tcPr>
          <w:p w:rsidR="00CE58F0" w:rsidRDefault="00CE58F0" w:rsidP="00413B8D">
            <w:pPr>
              <w:spacing w:after="120"/>
              <w:jc w:val="right"/>
              <w:rPr>
                <w:szCs w:val="24"/>
              </w:rPr>
            </w:pPr>
          </w:p>
        </w:tc>
        <w:tc>
          <w:tcPr>
            <w:tcW w:w="1572" w:type="dxa"/>
            <w:gridSpan w:val="2"/>
          </w:tcPr>
          <w:p w:rsidR="00CE58F0" w:rsidRDefault="00CE58F0" w:rsidP="00413B8D">
            <w:pPr>
              <w:spacing w:after="120"/>
              <w:jc w:val="right"/>
              <w:rPr>
                <w:szCs w:val="24"/>
              </w:rPr>
            </w:pPr>
          </w:p>
        </w:tc>
        <w:tc>
          <w:tcPr>
            <w:tcW w:w="1818" w:type="dxa"/>
            <w:gridSpan w:val="3"/>
          </w:tcPr>
          <w:p w:rsidR="00CE58F0" w:rsidRDefault="00CE58F0" w:rsidP="00413B8D">
            <w:pPr>
              <w:tabs>
                <w:tab w:val="left" w:pos="603"/>
              </w:tabs>
              <w:spacing w:after="120"/>
              <w:jc w:val="right"/>
              <w:rPr>
                <w:szCs w:val="24"/>
              </w:rPr>
            </w:pPr>
          </w:p>
        </w:tc>
      </w:tr>
      <w:tr w:rsidR="00CE58F0" w:rsidTr="00413B8D">
        <w:trPr>
          <w:gridAfter w:val="5"/>
          <w:wAfter w:w="7042" w:type="dxa"/>
        </w:trPr>
        <w:tc>
          <w:tcPr>
            <w:tcW w:w="2959" w:type="dxa"/>
          </w:tcPr>
          <w:p w:rsidR="00CE58F0" w:rsidRPr="00CA707F" w:rsidRDefault="00CE58F0" w:rsidP="00413B8D">
            <w:pPr>
              <w:spacing w:after="120"/>
              <w:rPr>
                <w:szCs w:val="24"/>
              </w:rPr>
            </w:pPr>
            <w:r>
              <w:rPr>
                <w:szCs w:val="24"/>
              </w:rPr>
              <w:t>Financial liabilities at fair value through profit and loss</w:t>
            </w:r>
          </w:p>
        </w:tc>
        <w:tc>
          <w:tcPr>
            <w:tcW w:w="1739" w:type="dxa"/>
            <w:gridSpan w:val="2"/>
          </w:tcPr>
          <w:p w:rsidR="00CE58F0" w:rsidRPr="00CA707F" w:rsidRDefault="00CE58F0" w:rsidP="00413B8D">
            <w:pPr>
              <w:spacing w:after="120"/>
              <w:jc w:val="right"/>
              <w:rPr>
                <w:szCs w:val="24"/>
              </w:rPr>
            </w:pPr>
            <w:r>
              <w:rPr>
                <w:szCs w:val="24"/>
              </w:rPr>
              <w:t>*118.4</w:t>
            </w:r>
          </w:p>
        </w:tc>
        <w:tc>
          <w:tcPr>
            <w:tcW w:w="1571" w:type="dxa"/>
            <w:gridSpan w:val="2"/>
          </w:tcPr>
          <w:p w:rsidR="00CE58F0" w:rsidRPr="00CA707F" w:rsidRDefault="00CE58F0" w:rsidP="00413B8D">
            <w:pPr>
              <w:spacing w:after="120"/>
              <w:jc w:val="right"/>
              <w:rPr>
                <w:szCs w:val="24"/>
              </w:rPr>
            </w:pPr>
            <w:r>
              <w:rPr>
                <w:szCs w:val="24"/>
              </w:rPr>
              <w:t>-</w:t>
            </w:r>
          </w:p>
        </w:tc>
        <w:tc>
          <w:tcPr>
            <w:tcW w:w="1572" w:type="dxa"/>
            <w:gridSpan w:val="2"/>
          </w:tcPr>
          <w:p w:rsidR="00CE58F0" w:rsidRPr="00CA707F" w:rsidRDefault="00CE58F0" w:rsidP="00413B8D">
            <w:pPr>
              <w:spacing w:after="120"/>
              <w:jc w:val="right"/>
              <w:rPr>
                <w:szCs w:val="24"/>
              </w:rPr>
            </w:pPr>
            <w:r>
              <w:rPr>
                <w:szCs w:val="24"/>
              </w:rPr>
              <w:t>-</w:t>
            </w:r>
          </w:p>
        </w:tc>
        <w:tc>
          <w:tcPr>
            <w:tcW w:w="1818" w:type="dxa"/>
            <w:gridSpan w:val="3"/>
          </w:tcPr>
          <w:p w:rsidR="00CE58F0" w:rsidRDefault="00CE58F0" w:rsidP="00413B8D">
            <w:pPr>
              <w:tabs>
                <w:tab w:val="left" w:pos="603"/>
              </w:tabs>
              <w:spacing w:after="120"/>
              <w:jc w:val="right"/>
              <w:rPr>
                <w:szCs w:val="24"/>
              </w:rPr>
            </w:pPr>
            <w:r>
              <w:rPr>
                <w:szCs w:val="24"/>
              </w:rPr>
              <w:t>118.4</w:t>
            </w:r>
          </w:p>
        </w:tc>
      </w:tr>
      <w:tr w:rsidR="00CE58F0" w:rsidTr="00413B8D">
        <w:trPr>
          <w:gridAfter w:val="4"/>
          <w:wAfter w:w="6682" w:type="dxa"/>
        </w:trPr>
        <w:tc>
          <w:tcPr>
            <w:tcW w:w="3080" w:type="dxa"/>
            <w:gridSpan w:val="2"/>
            <w:tcBorders>
              <w:top w:val="nil"/>
              <w:left w:val="nil"/>
              <w:bottom w:val="nil"/>
              <w:right w:val="nil"/>
            </w:tcBorders>
          </w:tcPr>
          <w:p w:rsidR="00CE58F0" w:rsidRPr="00CA707F" w:rsidRDefault="00CE58F0" w:rsidP="00413B8D">
            <w:pPr>
              <w:spacing w:after="120"/>
              <w:rPr>
                <w:b/>
                <w:szCs w:val="24"/>
              </w:rPr>
            </w:pPr>
            <w:r w:rsidRPr="00CA707F">
              <w:rPr>
                <w:b/>
                <w:szCs w:val="24"/>
              </w:rPr>
              <w:t xml:space="preserve">Total Financial </w:t>
            </w:r>
            <w:r>
              <w:rPr>
                <w:b/>
                <w:szCs w:val="24"/>
              </w:rPr>
              <w:t>Liabilities</w:t>
            </w:r>
          </w:p>
        </w:tc>
        <w:tc>
          <w:tcPr>
            <w:tcW w:w="2290" w:type="dxa"/>
            <w:gridSpan w:val="2"/>
            <w:tcBorders>
              <w:top w:val="nil"/>
              <w:left w:val="nil"/>
              <w:bottom w:val="nil"/>
              <w:right w:val="nil"/>
            </w:tcBorders>
          </w:tcPr>
          <w:p w:rsidR="00CE58F0" w:rsidRDefault="00CE58F0" w:rsidP="00413B8D">
            <w:pPr>
              <w:spacing w:after="120"/>
              <w:ind w:right="629"/>
              <w:jc w:val="right"/>
              <w:rPr>
                <w:b/>
                <w:szCs w:val="24"/>
              </w:rPr>
            </w:pPr>
            <w:r>
              <w:rPr>
                <w:b/>
                <w:szCs w:val="24"/>
              </w:rPr>
              <w:t>118.4</w:t>
            </w:r>
          </w:p>
        </w:tc>
        <w:tc>
          <w:tcPr>
            <w:tcW w:w="1531" w:type="dxa"/>
            <w:gridSpan w:val="2"/>
            <w:tcBorders>
              <w:top w:val="nil"/>
              <w:left w:val="nil"/>
              <w:bottom w:val="nil"/>
              <w:right w:val="nil"/>
            </w:tcBorders>
          </w:tcPr>
          <w:p w:rsidR="00CE58F0" w:rsidRPr="00CA707F" w:rsidRDefault="00CE58F0" w:rsidP="00413B8D">
            <w:pPr>
              <w:tabs>
                <w:tab w:val="left" w:pos="431"/>
              </w:tabs>
              <w:spacing w:after="120"/>
              <w:ind w:left="-136" w:right="601"/>
              <w:jc w:val="right"/>
              <w:rPr>
                <w:b/>
                <w:szCs w:val="24"/>
              </w:rPr>
            </w:pPr>
            <w:r>
              <w:rPr>
                <w:b/>
                <w:szCs w:val="24"/>
              </w:rPr>
              <w:t>-</w:t>
            </w:r>
          </w:p>
        </w:tc>
        <w:tc>
          <w:tcPr>
            <w:tcW w:w="1695" w:type="dxa"/>
            <w:gridSpan w:val="2"/>
            <w:tcBorders>
              <w:top w:val="nil"/>
              <w:left w:val="nil"/>
              <w:bottom w:val="nil"/>
              <w:right w:val="nil"/>
            </w:tcBorders>
          </w:tcPr>
          <w:p w:rsidR="00CE58F0" w:rsidRPr="00CA707F" w:rsidRDefault="00CE58F0" w:rsidP="00413B8D">
            <w:pPr>
              <w:spacing w:after="120"/>
              <w:ind w:left="-136" w:right="743"/>
              <w:jc w:val="right"/>
              <w:rPr>
                <w:b/>
                <w:szCs w:val="24"/>
              </w:rPr>
            </w:pPr>
            <w:r>
              <w:rPr>
                <w:b/>
                <w:szCs w:val="24"/>
              </w:rPr>
              <w:t>-</w:t>
            </w:r>
          </w:p>
        </w:tc>
        <w:tc>
          <w:tcPr>
            <w:tcW w:w="1423" w:type="dxa"/>
            <w:gridSpan w:val="3"/>
            <w:tcBorders>
              <w:top w:val="nil"/>
              <w:left w:val="nil"/>
              <w:bottom w:val="nil"/>
              <w:right w:val="nil"/>
            </w:tcBorders>
          </w:tcPr>
          <w:p w:rsidR="00CE58F0" w:rsidRDefault="00CE58F0" w:rsidP="00413B8D">
            <w:pPr>
              <w:tabs>
                <w:tab w:val="left" w:pos="890"/>
              </w:tabs>
              <w:spacing w:after="120"/>
              <w:ind w:left="-136" w:right="317"/>
              <w:jc w:val="right"/>
              <w:rPr>
                <w:b/>
                <w:szCs w:val="24"/>
              </w:rPr>
            </w:pPr>
            <w:r>
              <w:rPr>
                <w:b/>
                <w:szCs w:val="24"/>
              </w:rPr>
              <w:t>118.4</w:t>
            </w:r>
          </w:p>
        </w:tc>
      </w:tr>
      <w:tr w:rsidR="00CE58F0" w:rsidRPr="00CA707F" w:rsidTr="00413B8D">
        <w:trPr>
          <w:gridAfter w:val="6"/>
          <w:wAfter w:w="7223" w:type="dxa"/>
        </w:trPr>
        <w:tc>
          <w:tcPr>
            <w:tcW w:w="9478" w:type="dxa"/>
            <w:gridSpan w:val="9"/>
            <w:tcBorders>
              <w:top w:val="nil"/>
              <w:left w:val="nil"/>
              <w:bottom w:val="nil"/>
              <w:right w:val="nil"/>
            </w:tcBorders>
          </w:tcPr>
          <w:p w:rsidR="00CE58F0" w:rsidRDefault="00CE58F0" w:rsidP="00413B8D">
            <w:pPr>
              <w:spacing w:after="120"/>
              <w:rPr>
                <w:szCs w:val="24"/>
              </w:rPr>
            </w:pPr>
            <w:r>
              <w:rPr>
                <w:szCs w:val="24"/>
              </w:rPr>
              <w:t>* Financial instruments at 31</w:t>
            </w:r>
            <w:r w:rsidRPr="000C15C5">
              <w:rPr>
                <w:szCs w:val="24"/>
                <w:vertAlign w:val="superscript"/>
              </w:rPr>
              <w:t>st</w:t>
            </w:r>
            <w:r>
              <w:rPr>
                <w:szCs w:val="24"/>
              </w:rPr>
              <w:t xml:space="preserve"> March 2014 have been categorised at individual investment level rather than by asset class as was the policy at 31</w:t>
            </w:r>
            <w:r w:rsidRPr="000C15C5">
              <w:rPr>
                <w:szCs w:val="24"/>
                <w:vertAlign w:val="superscript"/>
              </w:rPr>
              <w:t>st</w:t>
            </w:r>
            <w:r>
              <w:rPr>
                <w:szCs w:val="24"/>
              </w:rPr>
              <w:t xml:space="preserve"> March 2013.  Comparatives have been restated accordingly.</w:t>
            </w:r>
          </w:p>
          <w:p w:rsidR="00783C33" w:rsidRDefault="00783C33" w:rsidP="00413B8D">
            <w:pPr>
              <w:spacing w:after="120"/>
              <w:rPr>
                <w:szCs w:val="24"/>
              </w:rPr>
            </w:pPr>
          </w:p>
          <w:p w:rsidR="00BE7D70" w:rsidRDefault="00BE7D70" w:rsidP="00413B8D">
            <w:pPr>
              <w:spacing w:after="120"/>
              <w:rPr>
                <w:szCs w:val="24"/>
              </w:rPr>
            </w:pPr>
          </w:p>
          <w:p w:rsidR="00BE7D70" w:rsidRDefault="00BE7D70" w:rsidP="00413B8D">
            <w:pPr>
              <w:spacing w:after="120"/>
              <w:rPr>
                <w:szCs w:val="24"/>
              </w:rPr>
            </w:pPr>
          </w:p>
          <w:p w:rsidR="00BE7D70" w:rsidRPr="00CA707F" w:rsidRDefault="00BE7D70" w:rsidP="00413B8D">
            <w:pPr>
              <w:spacing w:after="120"/>
              <w:rPr>
                <w:szCs w:val="24"/>
              </w:rPr>
            </w:pPr>
          </w:p>
        </w:tc>
      </w:tr>
      <w:tr w:rsidR="00CE58F0" w:rsidRPr="00FB0F1F" w:rsidTr="00413B8D">
        <w:tc>
          <w:tcPr>
            <w:tcW w:w="9478" w:type="dxa"/>
            <w:gridSpan w:val="9"/>
          </w:tcPr>
          <w:p w:rsidR="00CE58F0" w:rsidRPr="00FB0F1F" w:rsidRDefault="00CE58F0" w:rsidP="00413B8D">
            <w:pPr>
              <w:rPr>
                <w:b/>
                <w:szCs w:val="24"/>
              </w:rPr>
            </w:pPr>
          </w:p>
        </w:tc>
        <w:tc>
          <w:tcPr>
            <w:tcW w:w="2290" w:type="dxa"/>
            <w:gridSpan w:val="3"/>
          </w:tcPr>
          <w:p w:rsidR="00CE58F0" w:rsidRPr="00FB0F1F" w:rsidRDefault="00CE58F0" w:rsidP="00413B8D">
            <w:pPr>
              <w:jc w:val="right"/>
              <w:rPr>
                <w:b/>
                <w:szCs w:val="24"/>
              </w:rPr>
            </w:pPr>
          </w:p>
        </w:tc>
        <w:tc>
          <w:tcPr>
            <w:tcW w:w="1928" w:type="dxa"/>
          </w:tcPr>
          <w:p w:rsidR="00CE58F0" w:rsidRPr="00FB0F1F" w:rsidRDefault="00CE58F0" w:rsidP="00413B8D">
            <w:pPr>
              <w:jc w:val="right"/>
              <w:rPr>
                <w:b/>
                <w:szCs w:val="24"/>
              </w:rPr>
            </w:pPr>
          </w:p>
        </w:tc>
        <w:tc>
          <w:tcPr>
            <w:tcW w:w="1582" w:type="dxa"/>
          </w:tcPr>
          <w:p w:rsidR="00CE58F0" w:rsidRPr="00FB0F1F" w:rsidRDefault="00CE58F0" w:rsidP="00413B8D">
            <w:pPr>
              <w:jc w:val="right"/>
              <w:rPr>
                <w:b/>
                <w:szCs w:val="24"/>
              </w:rPr>
            </w:pPr>
          </w:p>
        </w:tc>
        <w:tc>
          <w:tcPr>
            <w:tcW w:w="1423" w:type="dxa"/>
          </w:tcPr>
          <w:p w:rsidR="00CE58F0" w:rsidRPr="00FB0F1F" w:rsidRDefault="00CE58F0" w:rsidP="00413B8D">
            <w:pPr>
              <w:jc w:val="right"/>
              <w:rPr>
                <w:b/>
                <w:szCs w:val="24"/>
              </w:rPr>
            </w:pPr>
          </w:p>
        </w:tc>
      </w:tr>
    </w:tbl>
    <w:p w:rsidR="00CE58F0" w:rsidRPr="00557F59" w:rsidRDefault="00CE58F0" w:rsidP="00CE58F0">
      <w:pPr>
        <w:numPr>
          <w:ilvl w:val="0"/>
          <w:numId w:val="2"/>
        </w:numPr>
        <w:tabs>
          <w:tab w:val="clear" w:pos="720"/>
          <w:tab w:val="num" w:pos="709"/>
        </w:tabs>
        <w:spacing w:after="120"/>
        <w:ind w:left="862"/>
        <w:rPr>
          <w:b/>
          <w:szCs w:val="24"/>
        </w:rPr>
      </w:pPr>
      <w:r w:rsidRPr="00557F59">
        <w:rPr>
          <w:b/>
          <w:szCs w:val="24"/>
        </w:rPr>
        <w:t>Nature and extent of risks</w:t>
      </w:r>
      <w:r w:rsidRPr="00557F59">
        <w:rPr>
          <w:b/>
        </w:rPr>
        <w:t xml:space="preserve"> arising from Financial Instruments</w:t>
      </w:r>
    </w:p>
    <w:p w:rsidR="00CE58F0" w:rsidRDefault="00CE58F0" w:rsidP="00CE58F0">
      <w:pPr>
        <w:ind w:firstLine="720"/>
      </w:pPr>
    </w:p>
    <w:p w:rsidR="00CE58F0" w:rsidRPr="000868FD" w:rsidRDefault="00CE58F0" w:rsidP="00CE58F0">
      <w:pPr>
        <w:ind w:firstLine="720"/>
        <w:rPr>
          <w:b/>
        </w:rPr>
      </w:pPr>
      <w:r w:rsidRPr="000868FD">
        <w:rPr>
          <w:b/>
        </w:rPr>
        <w:t xml:space="preserve">Risk and risk management </w:t>
      </w:r>
    </w:p>
    <w:p w:rsidR="00CE58F0" w:rsidRPr="00E539D1" w:rsidRDefault="00CE58F0" w:rsidP="00CE58F0">
      <w:pPr>
        <w:rPr>
          <w:b/>
        </w:rPr>
      </w:pPr>
    </w:p>
    <w:p w:rsidR="00CE58F0" w:rsidRDefault="00CE58F0" w:rsidP="00CE58F0">
      <w:pPr>
        <w:ind w:left="720"/>
      </w:pPr>
      <w: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w:t>
      </w:r>
      <w:r>
        <w:lastRenderedPageBreak/>
        <w:t xml:space="preserve">and interest rate risk) and keep credit risk to an acceptable level.  In addition, the Fund manages its liquidity risk to ensure there is sufficient liquidity to meet the Fund's forecast cash flow.  </w:t>
      </w:r>
    </w:p>
    <w:p w:rsidR="00CE58F0" w:rsidRDefault="00CE58F0" w:rsidP="00CE58F0">
      <w:pPr>
        <w:ind w:left="720"/>
      </w:pPr>
    </w:p>
    <w:p w:rsidR="00CE58F0" w:rsidRDefault="00CE58F0" w:rsidP="00CE58F0">
      <w:pPr>
        <w:ind w:left="720"/>
      </w:pPr>
      <w:r>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p>
    <w:p w:rsidR="003F1D86" w:rsidRDefault="003F1D86" w:rsidP="00CE58F0">
      <w:pPr>
        <w:ind w:left="720"/>
      </w:pPr>
    </w:p>
    <w:p w:rsidR="00CE58F0" w:rsidRPr="00070A9A" w:rsidRDefault="00CE58F0" w:rsidP="00CE58F0">
      <w:pPr>
        <w:ind w:firstLine="709"/>
        <w:rPr>
          <w:b/>
        </w:rPr>
      </w:pPr>
      <w:r w:rsidRPr="00070A9A">
        <w:rPr>
          <w:b/>
        </w:rPr>
        <w:t xml:space="preserve">Market risk </w:t>
      </w:r>
    </w:p>
    <w:p w:rsidR="00CE58F0" w:rsidRDefault="00CE58F0" w:rsidP="00CE58F0"/>
    <w:p w:rsidR="00CE58F0" w:rsidRDefault="00CE58F0" w:rsidP="00CE58F0">
      <w:pPr>
        <w:ind w:left="709"/>
      </w:pPr>
      <w:r>
        <w:t xml:space="preserve">Market risk is risk of loss from fluctuations in equity and commodity prices, interest and foreign exchange rates and credit spreads.  The Fund is exposed to market risk from its investment activities, particularly through its equity holdings.  </w:t>
      </w:r>
    </w:p>
    <w:p w:rsidR="00CE58F0" w:rsidRDefault="00CE58F0" w:rsidP="00CE58F0">
      <w:pPr>
        <w:ind w:left="709"/>
      </w:pPr>
    </w:p>
    <w:p w:rsidR="00CE58F0" w:rsidRDefault="00CE58F0" w:rsidP="00CE58F0">
      <w:pPr>
        <w:ind w:left="709"/>
      </w:pPr>
      <w:r>
        <w:t>The objective of the Fund's risk management strategy is to identify, manage and keep market risk exposure within acceptable parameters, whilst optimising the return on risk.</w:t>
      </w:r>
    </w:p>
    <w:p w:rsidR="00CE58F0" w:rsidRDefault="00CE58F0" w:rsidP="00CE58F0">
      <w:pPr>
        <w:ind w:left="709"/>
      </w:pPr>
    </w:p>
    <w:p w:rsidR="00CE58F0" w:rsidRDefault="00CE58F0" w:rsidP="00CE58F0">
      <w:pPr>
        <w:ind w:left="709"/>
      </w:pPr>
      <w:r>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CE58F0" w:rsidRDefault="00CE58F0" w:rsidP="00CE58F0">
      <w:pPr>
        <w:ind w:left="709"/>
      </w:pPr>
    </w:p>
    <w:p w:rsidR="00CE58F0" w:rsidRDefault="00CE58F0" w:rsidP="00CE58F0">
      <w:pPr>
        <w:ind w:left="720"/>
      </w:pPr>
      <w:r>
        <w:rPr>
          <w:b/>
        </w:rPr>
        <w:t xml:space="preserve">Other price risk </w:t>
      </w:r>
      <w:r>
        <w:t xml:space="preserve"> </w:t>
      </w:r>
    </w:p>
    <w:p w:rsidR="00CE58F0" w:rsidRDefault="00CE58F0" w:rsidP="00CE58F0">
      <w:pPr>
        <w:ind w:left="720"/>
      </w:pPr>
    </w:p>
    <w:p w:rsidR="00CE58F0" w:rsidRPr="009245E4" w:rsidRDefault="00CE58F0" w:rsidP="00CE58F0">
      <w:pPr>
        <w:ind w:left="720"/>
      </w:pPr>
      <w:r>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CE58F0" w:rsidRDefault="00CE58F0" w:rsidP="00CE58F0">
      <w:pPr>
        <w:ind w:left="720"/>
      </w:pPr>
    </w:p>
    <w:p w:rsidR="00CE58F0" w:rsidRDefault="00CE58F0" w:rsidP="00CE58F0">
      <w:pPr>
        <w:ind w:left="720"/>
      </w:pPr>
      <w:r>
        <w:t xml:space="preserve">The Fund is exposed to share and derivatives price risk.  This arises from investments held by the Fund for which the future price is uncertain.  All securities investments present a risk of loss of capital.  Except for shares sold short, the maximum risk resulting from financial </w:t>
      </w:r>
      <w:r w:rsidR="004534A9">
        <w:t>instruments is</w:t>
      </w:r>
      <w:r>
        <w:t xml:space="preserve"> determined by the fair value of the financial instruments.  Possible losses from shares sold short is unlimited. </w:t>
      </w:r>
    </w:p>
    <w:p w:rsidR="00CE58F0" w:rsidRDefault="00CE58F0" w:rsidP="00CE58F0">
      <w:pPr>
        <w:ind w:left="720"/>
      </w:pPr>
    </w:p>
    <w:p w:rsidR="00CE58F0" w:rsidRDefault="00CE58F0" w:rsidP="00CE58F0">
      <w:pPr>
        <w:ind w:left="720"/>
      </w:pPr>
      <w:r>
        <w:t>The Fund's investment managers mitigate this price risk through diversification.  The selection of securities and other financial instruments is monitored by the Fund to ensure it is within limits specified in the fund investment strategy.</w:t>
      </w:r>
    </w:p>
    <w:p w:rsidR="00BE7D70" w:rsidRDefault="00BE7D70" w:rsidP="00CE58F0">
      <w:pPr>
        <w:ind w:left="720"/>
      </w:pPr>
    </w:p>
    <w:p w:rsidR="00CE58F0" w:rsidRDefault="00CE58F0" w:rsidP="00CE58F0">
      <w:pPr>
        <w:ind w:left="720"/>
      </w:pPr>
      <w:r>
        <w:t xml:space="preserve"> </w:t>
      </w:r>
    </w:p>
    <w:p w:rsidR="00CE58F0" w:rsidRDefault="00CE58F0" w:rsidP="00CE58F0">
      <w:pPr>
        <w:ind w:left="720"/>
        <w:rPr>
          <w:b/>
        </w:rPr>
      </w:pPr>
      <w:r>
        <w:rPr>
          <w:b/>
        </w:rPr>
        <w:t>Other price risk – sensitivity analysis</w:t>
      </w:r>
    </w:p>
    <w:p w:rsidR="00CE58F0" w:rsidRDefault="00CE58F0" w:rsidP="00CE58F0">
      <w:pPr>
        <w:ind w:left="720"/>
      </w:pPr>
      <w:r>
        <w:t xml:space="preserve">Following analysis of historical data and expected investment return movement during the financial year, in consultation with the Fund's investment advisors, the Fund has determined that the following movements in market price risks are reasonably possible for the 2013/14 reporting period. </w:t>
      </w:r>
    </w:p>
    <w:p w:rsidR="00CE58F0" w:rsidRDefault="00CE58F0" w:rsidP="00CE58F0">
      <w:pPr>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4821"/>
        <w:gridCol w:w="4827"/>
      </w:tblGrid>
      <w:tr w:rsidR="00CE58F0" w:rsidTr="00413B8D">
        <w:tc>
          <w:tcPr>
            <w:tcW w:w="5149" w:type="dxa"/>
            <w:tcBorders>
              <w:top w:val="nil"/>
              <w:bottom w:val="nil"/>
            </w:tcBorders>
          </w:tcPr>
          <w:p w:rsidR="00CE58F0" w:rsidRPr="000963E8" w:rsidRDefault="00CE58F0" w:rsidP="00413B8D">
            <w:pPr>
              <w:rPr>
                <w:b/>
              </w:rPr>
            </w:pPr>
            <w:r w:rsidRPr="000963E8">
              <w:rPr>
                <w:b/>
              </w:rPr>
              <w:t xml:space="preserve">Asset Type </w:t>
            </w:r>
          </w:p>
        </w:tc>
        <w:tc>
          <w:tcPr>
            <w:tcW w:w="5147" w:type="dxa"/>
            <w:tcBorders>
              <w:top w:val="nil"/>
              <w:bottom w:val="nil"/>
            </w:tcBorders>
          </w:tcPr>
          <w:p w:rsidR="00CE58F0" w:rsidRPr="000963E8" w:rsidRDefault="00CE58F0" w:rsidP="00413B8D">
            <w:pPr>
              <w:jc w:val="right"/>
              <w:rPr>
                <w:b/>
              </w:rPr>
            </w:pPr>
            <w:r w:rsidRPr="000963E8">
              <w:rPr>
                <w:b/>
              </w:rPr>
              <w:t>Potential market movements (+/</w:t>
            </w:r>
            <w:r w:rsidRPr="000963E8">
              <w:rPr>
                <w:b/>
              </w:rPr>
              <w:softHyphen/>
              <w:t>-)</w:t>
            </w:r>
          </w:p>
        </w:tc>
      </w:tr>
      <w:tr w:rsidR="00CE58F0" w:rsidTr="00413B8D">
        <w:tc>
          <w:tcPr>
            <w:tcW w:w="5149" w:type="dxa"/>
            <w:tcBorders>
              <w:top w:val="nil"/>
              <w:bottom w:val="nil"/>
            </w:tcBorders>
          </w:tcPr>
          <w:p w:rsidR="00CE58F0" w:rsidRDefault="00CE58F0" w:rsidP="00413B8D">
            <w:r>
              <w:t>UK Bonds</w:t>
            </w:r>
          </w:p>
        </w:tc>
        <w:tc>
          <w:tcPr>
            <w:tcW w:w="5147" w:type="dxa"/>
            <w:tcBorders>
              <w:top w:val="nil"/>
              <w:bottom w:val="nil"/>
            </w:tcBorders>
          </w:tcPr>
          <w:p w:rsidR="00CE58F0" w:rsidRDefault="00CE58F0" w:rsidP="00413B8D">
            <w:pPr>
              <w:jc w:val="right"/>
              <w:rPr>
                <w:sz w:val="22"/>
              </w:rPr>
            </w:pPr>
            <w:r>
              <w:t>4.8%</w:t>
            </w:r>
          </w:p>
        </w:tc>
      </w:tr>
      <w:tr w:rsidR="00CE58F0" w:rsidTr="00413B8D">
        <w:tc>
          <w:tcPr>
            <w:tcW w:w="5149" w:type="dxa"/>
            <w:tcBorders>
              <w:top w:val="nil"/>
              <w:bottom w:val="nil"/>
            </w:tcBorders>
          </w:tcPr>
          <w:p w:rsidR="00CE58F0" w:rsidRDefault="00CE58F0" w:rsidP="00413B8D">
            <w:r>
              <w:t xml:space="preserve">Overseas bonds </w:t>
            </w:r>
          </w:p>
        </w:tc>
        <w:tc>
          <w:tcPr>
            <w:tcW w:w="5147" w:type="dxa"/>
            <w:tcBorders>
              <w:top w:val="nil"/>
              <w:bottom w:val="nil"/>
            </w:tcBorders>
          </w:tcPr>
          <w:p w:rsidR="00CE58F0" w:rsidRDefault="00CE58F0" w:rsidP="00413B8D">
            <w:pPr>
              <w:jc w:val="right"/>
              <w:rPr>
                <w:sz w:val="22"/>
              </w:rPr>
            </w:pPr>
            <w:r>
              <w:t>4.8%</w:t>
            </w:r>
          </w:p>
        </w:tc>
      </w:tr>
      <w:tr w:rsidR="00CE58F0" w:rsidTr="00413B8D">
        <w:tc>
          <w:tcPr>
            <w:tcW w:w="5149" w:type="dxa"/>
            <w:tcBorders>
              <w:top w:val="nil"/>
              <w:bottom w:val="nil"/>
            </w:tcBorders>
          </w:tcPr>
          <w:p w:rsidR="00CE58F0" w:rsidRDefault="00CE58F0" w:rsidP="00413B8D">
            <w:r>
              <w:t xml:space="preserve">UK equities </w:t>
            </w:r>
          </w:p>
        </w:tc>
        <w:tc>
          <w:tcPr>
            <w:tcW w:w="5147" w:type="dxa"/>
            <w:tcBorders>
              <w:top w:val="nil"/>
              <w:bottom w:val="nil"/>
            </w:tcBorders>
          </w:tcPr>
          <w:p w:rsidR="00CE58F0" w:rsidRPr="00E03AB4" w:rsidRDefault="00CE58F0" w:rsidP="00413B8D">
            <w:pPr>
              <w:jc w:val="right"/>
            </w:pPr>
            <w:r>
              <w:t>11.9%</w:t>
            </w:r>
          </w:p>
        </w:tc>
      </w:tr>
      <w:tr w:rsidR="00CE58F0" w:rsidTr="00413B8D">
        <w:tc>
          <w:tcPr>
            <w:tcW w:w="5149" w:type="dxa"/>
            <w:tcBorders>
              <w:top w:val="nil"/>
              <w:bottom w:val="nil"/>
            </w:tcBorders>
          </w:tcPr>
          <w:p w:rsidR="00CE58F0" w:rsidRDefault="00CE58F0" w:rsidP="00413B8D">
            <w:r>
              <w:t xml:space="preserve">Overseas equities </w:t>
            </w:r>
          </w:p>
        </w:tc>
        <w:tc>
          <w:tcPr>
            <w:tcW w:w="5147" w:type="dxa"/>
            <w:tcBorders>
              <w:top w:val="nil"/>
              <w:bottom w:val="nil"/>
            </w:tcBorders>
          </w:tcPr>
          <w:p w:rsidR="00CE58F0" w:rsidRPr="00E03AB4" w:rsidRDefault="00CE58F0" w:rsidP="00413B8D">
            <w:pPr>
              <w:jc w:val="right"/>
            </w:pPr>
            <w:r>
              <w:t>11.9%</w:t>
            </w:r>
          </w:p>
        </w:tc>
      </w:tr>
      <w:tr w:rsidR="00CE58F0" w:rsidTr="00413B8D">
        <w:tc>
          <w:tcPr>
            <w:tcW w:w="5149" w:type="dxa"/>
            <w:tcBorders>
              <w:top w:val="nil"/>
              <w:bottom w:val="nil"/>
            </w:tcBorders>
          </w:tcPr>
          <w:p w:rsidR="00CE58F0" w:rsidRDefault="00CE58F0" w:rsidP="00413B8D">
            <w:r>
              <w:lastRenderedPageBreak/>
              <w:t xml:space="preserve">Index linked Gilts </w:t>
            </w:r>
          </w:p>
        </w:tc>
        <w:tc>
          <w:tcPr>
            <w:tcW w:w="5147" w:type="dxa"/>
            <w:tcBorders>
              <w:top w:val="nil"/>
              <w:bottom w:val="nil"/>
            </w:tcBorders>
          </w:tcPr>
          <w:p w:rsidR="00CE58F0" w:rsidRPr="00E03AB4" w:rsidRDefault="00CE58F0" w:rsidP="00413B8D">
            <w:pPr>
              <w:jc w:val="right"/>
            </w:pPr>
            <w:r>
              <w:t>4.8%</w:t>
            </w:r>
          </w:p>
        </w:tc>
      </w:tr>
      <w:tr w:rsidR="00CE58F0" w:rsidTr="00413B8D">
        <w:tc>
          <w:tcPr>
            <w:tcW w:w="5149" w:type="dxa"/>
            <w:tcBorders>
              <w:top w:val="nil"/>
              <w:bottom w:val="nil"/>
            </w:tcBorders>
          </w:tcPr>
          <w:p w:rsidR="00CE58F0" w:rsidRDefault="00CE58F0" w:rsidP="00413B8D">
            <w:r>
              <w:t>Cash</w:t>
            </w:r>
          </w:p>
        </w:tc>
        <w:tc>
          <w:tcPr>
            <w:tcW w:w="5147" w:type="dxa"/>
            <w:tcBorders>
              <w:top w:val="nil"/>
              <w:bottom w:val="nil"/>
            </w:tcBorders>
          </w:tcPr>
          <w:p w:rsidR="00CE58F0" w:rsidRDefault="00CE58F0" w:rsidP="00413B8D">
            <w:pPr>
              <w:jc w:val="right"/>
              <w:rPr>
                <w:sz w:val="22"/>
              </w:rPr>
            </w:pPr>
            <w:r>
              <w:t>0%</w:t>
            </w:r>
          </w:p>
        </w:tc>
      </w:tr>
      <w:tr w:rsidR="00CE58F0" w:rsidTr="00413B8D">
        <w:tc>
          <w:tcPr>
            <w:tcW w:w="5149" w:type="dxa"/>
            <w:tcBorders>
              <w:top w:val="nil"/>
              <w:bottom w:val="nil"/>
            </w:tcBorders>
          </w:tcPr>
          <w:p w:rsidR="00CE58F0" w:rsidRDefault="00CE58F0" w:rsidP="00413B8D">
            <w:r>
              <w:t xml:space="preserve">Alternatives </w:t>
            </w:r>
          </w:p>
        </w:tc>
        <w:tc>
          <w:tcPr>
            <w:tcW w:w="5147" w:type="dxa"/>
            <w:tcBorders>
              <w:top w:val="nil"/>
              <w:bottom w:val="nil"/>
            </w:tcBorders>
          </w:tcPr>
          <w:p w:rsidR="00CE58F0" w:rsidRPr="00E03AB4" w:rsidRDefault="00CE58F0" w:rsidP="00413B8D">
            <w:pPr>
              <w:jc w:val="right"/>
            </w:pPr>
            <w:r>
              <w:t>3.8%</w:t>
            </w:r>
          </w:p>
        </w:tc>
      </w:tr>
      <w:tr w:rsidR="00CE58F0" w:rsidTr="00413B8D">
        <w:tc>
          <w:tcPr>
            <w:tcW w:w="5149" w:type="dxa"/>
            <w:tcBorders>
              <w:top w:val="nil"/>
              <w:bottom w:val="nil"/>
            </w:tcBorders>
          </w:tcPr>
          <w:p w:rsidR="00CE58F0" w:rsidRDefault="00CE58F0" w:rsidP="00413B8D">
            <w:r>
              <w:t>Property</w:t>
            </w:r>
          </w:p>
        </w:tc>
        <w:tc>
          <w:tcPr>
            <w:tcW w:w="5147" w:type="dxa"/>
            <w:tcBorders>
              <w:top w:val="nil"/>
              <w:bottom w:val="nil"/>
            </w:tcBorders>
          </w:tcPr>
          <w:p w:rsidR="00CE58F0" w:rsidRPr="00E03AB4" w:rsidRDefault="00CE58F0" w:rsidP="00413B8D">
            <w:pPr>
              <w:jc w:val="right"/>
            </w:pPr>
            <w:r>
              <w:t>2.7%</w:t>
            </w:r>
          </w:p>
        </w:tc>
      </w:tr>
    </w:tbl>
    <w:p w:rsidR="00CE58F0" w:rsidRDefault="00CE58F0" w:rsidP="00CE58F0">
      <w:pPr>
        <w:ind w:left="720"/>
      </w:pPr>
      <w:r>
        <w:t xml:space="preserve"> </w:t>
      </w:r>
    </w:p>
    <w:p w:rsidR="00CE58F0" w:rsidRDefault="00CE58F0" w:rsidP="00CE58F0">
      <w:pPr>
        <w:ind w:left="720"/>
      </w:pPr>
      <w:r>
        <w:t>The potential price changes disclosed above are broadly consistent with a one-standard deviation movement in value of the asset.  The sensitivities are consistent with the assumption contained in the investment advisors' most recent review.  This analysis assumes that all other variables, in particular foreign currency exchange rates and interest rates, remain the same.  Had the market of the Fund's investments increased/decreased in line with the above, the change in the net assets available to pay benefits in the market place would have been as follows (the prior year comparator is shown below):</w:t>
      </w:r>
    </w:p>
    <w:p w:rsidR="00CE58F0" w:rsidRDefault="00CE58F0" w:rsidP="00CE58F0">
      <w:pPr>
        <w:ind w:left="720"/>
      </w:pPr>
    </w:p>
    <w:tbl>
      <w:tblPr>
        <w:tblStyle w:val="TableGrid"/>
        <w:tblW w:w="0" w:type="auto"/>
        <w:tblInd w:w="817" w:type="dxa"/>
        <w:tblLook w:val="04A0" w:firstRow="1" w:lastRow="0" w:firstColumn="1" w:lastColumn="0" w:noHBand="0" w:noVBand="1"/>
      </w:tblPr>
      <w:tblGrid>
        <w:gridCol w:w="3624"/>
        <w:gridCol w:w="1771"/>
        <w:gridCol w:w="1510"/>
        <w:gridCol w:w="1259"/>
        <w:gridCol w:w="1387"/>
      </w:tblGrid>
      <w:tr w:rsidR="00CE58F0" w:rsidTr="00413B8D">
        <w:tc>
          <w:tcPr>
            <w:tcW w:w="3783" w:type="dxa"/>
            <w:tcBorders>
              <w:top w:val="nil"/>
              <w:left w:val="nil"/>
              <w:bottom w:val="nil"/>
              <w:right w:val="nil"/>
            </w:tcBorders>
          </w:tcPr>
          <w:p w:rsidR="00CE58F0" w:rsidRPr="000963E8" w:rsidRDefault="00CE58F0" w:rsidP="00413B8D">
            <w:pPr>
              <w:ind w:left="-108"/>
              <w:rPr>
                <w:b/>
              </w:rPr>
            </w:pPr>
            <w:r w:rsidRPr="000963E8">
              <w:rPr>
                <w:b/>
              </w:rPr>
              <w:t>Asset Type</w:t>
            </w:r>
          </w:p>
        </w:tc>
        <w:tc>
          <w:tcPr>
            <w:tcW w:w="1842" w:type="dxa"/>
            <w:tcBorders>
              <w:top w:val="nil"/>
              <w:left w:val="nil"/>
              <w:bottom w:val="nil"/>
              <w:right w:val="nil"/>
            </w:tcBorders>
          </w:tcPr>
          <w:p w:rsidR="00CE58F0" w:rsidRPr="000963E8" w:rsidRDefault="00CE58F0" w:rsidP="00413B8D">
            <w:pPr>
              <w:ind w:left="-393" w:right="-83"/>
              <w:jc w:val="right"/>
              <w:rPr>
                <w:b/>
              </w:rPr>
            </w:pPr>
            <w:r>
              <w:rPr>
                <w:b/>
              </w:rPr>
              <w:t>31/03/14</w:t>
            </w:r>
          </w:p>
        </w:tc>
        <w:tc>
          <w:tcPr>
            <w:tcW w:w="1510" w:type="dxa"/>
            <w:tcBorders>
              <w:top w:val="nil"/>
              <w:left w:val="nil"/>
              <w:bottom w:val="nil"/>
              <w:right w:val="nil"/>
            </w:tcBorders>
          </w:tcPr>
          <w:p w:rsidR="00CE58F0" w:rsidRPr="000963E8" w:rsidRDefault="00CE58F0" w:rsidP="00413B8D">
            <w:pPr>
              <w:jc w:val="right"/>
              <w:rPr>
                <w:b/>
              </w:rPr>
            </w:pPr>
            <w:r w:rsidRPr="000963E8">
              <w:rPr>
                <w:b/>
              </w:rPr>
              <w:t xml:space="preserve">Percentage Change </w:t>
            </w:r>
          </w:p>
        </w:tc>
        <w:tc>
          <w:tcPr>
            <w:tcW w:w="1264" w:type="dxa"/>
            <w:tcBorders>
              <w:top w:val="nil"/>
              <w:left w:val="nil"/>
              <w:bottom w:val="nil"/>
              <w:right w:val="nil"/>
            </w:tcBorders>
          </w:tcPr>
          <w:p w:rsidR="00CE58F0" w:rsidRPr="000963E8" w:rsidRDefault="00CE58F0" w:rsidP="00413B8D">
            <w:pPr>
              <w:jc w:val="right"/>
              <w:rPr>
                <w:b/>
              </w:rPr>
            </w:pPr>
            <w:r w:rsidRPr="000963E8">
              <w:rPr>
                <w:b/>
              </w:rPr>
              <w:t xml:space="preserve">Value on Increase </w:t>
            </w:r>
          </w:p>
        </w:tc>
        <w:tc>
          <w:tcPr>
            <w:tcW w:w="1394" w:type="dxa"/>
            <w:tcBorders>
              <w:top w:val="nil"/>
              <w:left w:val="nil"/>
              <w:bottom w:val="nil"/>
              <w:right w:val="nil"/>
            </w:tcBorders>
          </w:tcPr>
          <w:p w:rsidR="00CE58F0" w:rsidRPr="000963E8" w:rsidRDefault="00CE58F0" w:rsidP="00413B8D">
            <w:pPr>
              <w:jc w:val="right"/>
              <w:rPr>
                <w:b/>
              </w:rPr>
            </w:pPr>
            <w:r w:rsidRPr="000963E8">
              <w:rPr>
                <w:b/>
              </w:rPr>
              <w:t xml:space="preserve">Value on </w:t>
            </w:r>
          </w:p>
          <w:p w:rsidR="00CE58F0" w:rsidRPr="000963E8" w:rsidRDefault="00CE58F0" w:rsidP="00413B8D">
            <w:pPr>
              <w:jc w:val="right"/>
              <w:rPr>
                <w:b/>
              </w:rPr>
            </w:pPr>
            <w:r w:rsidRPr="000963E8">
              <w:rPr>
                <w:b/>
              </w:rPr>
              <w:t xml:space="preserve">Decrease </w:t>
            </w:r>
          </w:p>
        </w:tc>
      </w:tr>
      <w:tr w:rsidR="00CE58F0" w:rsidTr="00413B8D">
        <w:trPr>
          <w:trHeight w:val="157"/>
        </w:trPr>
        <w:tc>
          <w:tcPr>
            <w:tcW w:w="3783" w:type="dxa"/>
            <w:tcBorders>
              <w:top w:val="nil"/>
              <w:left w:val="nil"/>
              <w:bottom w:val="nil"/>
              <w:right w:val="nil"/>
            </w:tcBorders>
          </w:tcPr>
          <w:p w:rsidR="00CE58F0" w:rsidRDefault="00CE58F0" w:rsidP="00413B8D">
            <w:pPr>
              <w:ind w:left="-108"/>
              <w:rPr>
                <w:b/>
              </w:rPr>
            </w:pPr>
          </w:p>
        </w:tc>
        <w:tc>
          <w:tcPr>
            <w:tcW w:w="1842" w:type="dxa"/>
            <w:tcBorders>
              <w:top w:val="nil"/>
              <w:left w:val="nil"/>
              <w:bottom w:val="nil"/>
              <w:right w:val="nil"/>
            </w:tcBorders>
          </w:tcPr>
          <w:p w:rsidR="00CE58F0" w:rsidRPr="000963E8" w:rsidRDefault="00CE58F0" w:rsidP="00413B8D">
            <w:pPr>
              <w:ind w:left="-393" w:right="-83"/>
              <w:jc w:val="right"/>
              <w:rPr>
                <w:b/>
              </w:rPr>
            </w:pPr>
            <w:r w:rsidRPr="000963E8">
              <w:rPr>
                <w:b/>
              </w:rPr>
              <w:t>£m</w:t>
            </w:r>
          </w:p>
        </w:tc>
        <w:tc>
          <w:tcPr>
            <w:tcW w:w="1510" w:type="dxa"/>
            <w:tcBorders>
              <w:top w:val="nil"/>
              <w:left w:val="nil"/>
              <w:bottom w:val="nil"/>
              <w:right w:val="nil"/>
            </w:tcBorders>
          </w:tcPr>
          <w:p w:rsidR="00CE58F0" w:rsidRPr="000963E8" w:rsidRDefault="00CE58F0" w:rsidP="00413B8D">
            <w:pPr>
              <w:jc w:val="right"/>
              <w:rPr>
                <w:b/>
              </w:rPr>
            </w:pPr>
            <w:r w:rsidRPr="000963E8">
              <w:rPr>
                <w:b/>
              </w:rPr>
              <w:t>%</w:t>
            </w:r>
          </w:p>
        </w:tc>
        <w:tc>
          <w:tcPr>
            <w:tcW w:w="1264" w:type="dxa"/>
            <w:tcBorders>
              <w:top w:val="nil"/>
              <w:left w:val="nil"/>
              <w:bottom w:val="nil"/>
              <w:right w:val="nil"/>
            </w:tcBorders>
          </w:tcPr>
          <w:p w:rsidR="00CE58F0" w:rsidRPr="000963E8" w:rsidRDefault="00CE58F0" w:rsidP="00413B8D">
            <w:pPr>
              <w:jc w:val="right"/>
              <w:rPr>
                <w:b/>
              </w:rPr>
            </w:pPr>
            <w:r w:rsidRPr="000963E8">
              <w:rPr>
                <w:b/>
              </w:rPr>
              <w:t>£m</w:t>
            </w:r>
          </w:p>
        </w:tc>
        <w:tc>
          <w:tcPr>
            <w:tcW w:w="1394" w:type="dxa"/>
            <w:tcBorders>
              <w:top w:val="nil"/>
              <w:left w:val="nil"/>
              <w:bottom w:val="nil"/>
              <w:right w:val="nil"/>
            </w:tcBorders>
          </w:tcPr>
          <w:p w:rsidR="00CE58F0" w:rsidRPr="000963E8" w:rsidRDefault="00CE58F0" w:rsidP="00413B8D">
            <w:pPr>
              <w:jc w:val="right"/>
              <w:rPr>
                <w:b/>
              </w:rPr>
            </w:pPr>
            <w:r w:rsidRPr="000963E8">
              <w:rPr>
                <w:b/>
              </w:rPr>
              <w:t xml:space="preserve">£m </w:t>
            </w:r>
          </w:p>
        </w:tc>
      </w:tr>
      <w:tr w:rsidR="00CE58F0" w:rsidTr="00413B8D">
        <w:tc>
          <w:tcPr>
            <w:tcW w:w="3783" w:type="dxa"/>
            <w:tcBorders>
              <w:top w:val="nil"/>
              <w:left w:val="nil"/>
              <w:bottom w:val="nil"/>
              <w:right w:val="nil"/>
            </w:tcBorders>
          </w:tcPr>
          <w:p w:rsidR="00CE58F0" w:rsidRPr="000963E8" w:rsidRDefault="00CE58F0" w:rsidP="00413B8D">
            <w:pPr>
              <w:ind w:left="-108"/>
            </w:pPr>
            <w:r w:rsidRPr="000963E8">
              <w:t xml:space="preserve">Cash and Cash equivalents </w:t>
            </w:r>
          </w:p>
        </w:tc>
        <w:tc>
          <w:tcPr>
            <w:tcW w:w="1842" w:type="dxa"/>
            <w:tcBorders>
              <w:top w:val="nil"/>
              <w:left w:val="nil"/>
              <w:bottom w:val="nil"/>
              <w:right w:val="nil"/>
            </w:tcBorders>
          </w:tcPr>
          <w:p w:rsidR="00CE58F0" w:rsidRDefault="00CE58F0" w:rsidP="00413B8D">
            <w:pPr>
              <w:ind w:left="-393" w:right="-83"/>
              <w:jc w:val="right"/>
            </w:pPr>
            <w:r>
              <w:t>328.0</w:t>
            </w:r>
          </w:p>
        </w:tc>
        <w:tc>
          <w:tcPr>
            <w:tcW w:w="1510" w:type="dxa"/>
            <w:tcBorders>
              <w:top w:val="nil"/>
              <w:left w:val="nil"/>
              <w:bottom w:val="nil"/>
              <w:right w:val="nil"/>
            </w:tcBorders>
          </w:tcPr>
          <w:p w:rsidR="00CE58F0" w:rsidRDefault="00CE58F0" w:rsidP="00413B8D">
            <w:pPr>
              <w:jc w:val="right"/>
            </w:pPr>
            <w:r>
              <w:t>0.0%</w:t>
            </w:r>
          </w:p>
        </w:tc>
        <w:tc>
          <w:tcPr>
            <w:tcW w:w="1264" w:type="dxa"/>
            <w:tcBorders>
              <w:top w:val="nil"/>
              <w:left w:val="nil"/>
              <w:bottom w:val="nil"/>
              <w:right w:val="nil"/>
            </w:tcBorders>
          </w:tcPr>
          <w:p w:rsidR="00CE58F0" w:rsidRDefault="00CE58F0" w:rsidP="00413B8D">
            <w:pPr>
              <w:jc w:val="right"/>
            </w:pPr>
            <w:r>
              <w:t>328.0</w:t>
            </w:r>
          </w:p>
        </w:tc>
        <w:tc>
          <w:tcPr>
            <w:tcW w:w="1394" w:type="dxa"/>
            <w:tcBorders>
              <w:top w:val="nil"/>
              <w:left w:val="nil"/>
              <w:bottom w:val="nil"/>
              <w:right w:val="nil"/>
            </w:tcBorders>
          </w:tcPr>
          <w:p w:rsidR="00CE58F0" w:rsidRDefault="00CE58F0" w:rsidP="00413B8D">
            <w:pPr>
              <w:jc w:val="right"/>
            </w:pPr>
            <w:r>
              <w:t>328.0</w:t>
            </w:r>
          </w:p>
        </w:tc>
      </w:tr>
      <w:tr w:rsidR="00CE58F0" w:rsidTr="00413B8D">
        <w:tc>
          <w:tcPr>
            <w:tcW w:w="3783" w:type="dxa"/>
            <w:tcBorders>
              <w:top w:val="nil"/>
              <w:left w:val="nil"/>
              <w:bottom w:val="nil"/>
              <w:right w:val="nil"/>
            </w:tcBorders>
          </w:tcPr>
          <w:p w:rsidR="00CE58F0" w:rsidRPr="007D6045" w:rsidRDefault="00CE58F0" w:rsidP="00413B8D">
            <w:pPr>
              <w:ind w:left="-108"/>
              <w:rPr>
                <w:b/>
              </w:rPr>
            </w:pPr>
            <w:r w:rsidRPr="007D6045">
              <w:rPr>
                <w:b/>
              </w:rPr>
              <w:t>Investment portfolio assets:</w:t>
            </w:r>
          </w:p>
        </w:tc>
        <w:tc>
          <w:tcPr>
            <w:tcW w:w="1842" w:type="dxa"/>
            <w:tcBorders>
              <w:top w:val="nil"/>
              <w:left w:val="nil"/>
              <w:bottom w:val="nil"/>
              <w:right w:val="nil"/>
            </w:tcBorders>
          </w:tcPr>
          <w:p w:rsidR="00CE58F0" w:rsidRDefault="00CE58F0" w:rsidP="00413B8D">
            <w:pPr>
              <w:ind w:left="-393" w:right="-83"/>
            </w:pPr>
          </w:p>
        </w:tc>
        <w:tc>
          <w:tcPr>
            <w:tcW w:w="1510" w:type="dxa"/>
            <w:tcBorders>
              <w:top w:val="nil"/>
              <w:left w:val="nil"/>
              <w:bottom w:val="nil"/>
              <w:right w:val="nil"/>
            </w:tcBorders>
          </w:tcPr>
          <w:p w:rsidR="00CE58F0" w:rsidRDefault="00CE58F0" w:rsidP="00413B8D"/>
        </w:tc>
        <w:tc>
          <w:tcPr>
            <w:tcW w:w="1264" w:type="dxa"/>
            <w:tcBorders>
              <w:top w:val="nil"/>
              <w:left w:val="nil"/>
              <w:bottom w:val="nil"/>
              <w:right w:val="nil"/>
            </w:tcBorders>
          </w:tcPr>
          <w:p w:rsidR="00CE58F0" w:rsidRDefault="00CE58F0" w:rsidP="00413B8D"/>
        </w:tc>
        <w:tc>
          <w:tcPr>
            <w:tcW w:w="1394" w:type="dxa"/>
            <w:tcBorders>
              <w:top w:val="nil"/>
              <w:left w:val="nil"/>
              <w:bottom w:val="nil"/>
              <w:right w:val="nil"/>
            </w:tcBorders>
          </w:tcPr>
          <w:p w:rsidR="00CE58F0" w:rsidRDefault="00CE58F0" w:rsidP="00413B8D">
            <w:pPr>
              <w:jc w:val="right"/>
            </w:pPr>
          </w:p>
        </w:tc>
      </w:tr>
      <w:tr w:rsidR="00CE58F0" w:rsidTr="00413B8D">
        <w:tc>
          <w:tcPr>
            <w:tcW w:w="3783" w:type="dxa"/>
            <w:tcBorders>
              <w:top w:val="nil"/>
              <w:left w:val="nil"/>
              <w:bottom w:val="nil"/>
              <w:right w:val="nil"/>
            </w:tcBorders>
          </w:tcPr>
          <w:p w:rsidR="00CE58F0" w:rsidRDefault="00CE58F0" w:rsidP="00413B8D">
            <w:pPr>
              <w:ind w:left="-108"/>
            </w:pPr>
            <w:r>
              <w:t xml:space="preserve">UK bonds </w:t>
            </w:r>
          </w:p>
        </w:tc>
        <w:tc>
          <w:tcPr>
            <w:tcW w:w="1842" w:type="dxa"/>
            <w:tcBorders>
              <w:top w:val="nil"/>
              <w:left w:val="nil"/>
              <w:bottom w:val="nil"/>
              <w:right w:val="nil"/>
            </w:tcBorders>
          </w:tcPr>
          <w:p w:rsidR="00CE58F0" w:rsidRDefault="00CE58F0" w:rsidP="00413B8D">
            <w:pPr>
              <w:ind w:left="-393" w:right="-83"/>
              <w:jc w:val="right"/>
              <w:rPr>
                <w:sz w:val="22"/>
              </w:rPr>
            </w:pPr>
            <w:r>
              <w:t>76.0</w:t>
            </w:r>
          </w:p>
        </w:tc>
        <w:tc>
          <w:tcPr>
            <w:tcW w:w="1510" w:type="dxa"/>
            <w:tcBorders>
              <w:top w:val="nil"/>
              <w:left w:val="nil"/>
              <w:bottom w:val="nil"/>
              <w:right w:val="nil"/>
            </w:tcBorders>
          </w:tcPr>
          <w:p w:rsidR="00CE58F0" w:rsidRPr="00E03AB4" w:rsidRDefault="00CE58F0" w:rsidP="00413B8D">
            <w:pPr>
              <w:jc w:val="right"/>
            </w:pPr>
            <w:r>
              <w:t>4.8</w:t>
            </w:r>
            <w:r w:rsidRPr="00E03AB4">
              <w:t>%</w:t>
            </w:r>
          </w:p>
        </w:tc>
        <w:tc>
          <w:tcPr>
            <w:tcW w:w="1264" w:type="dxa"/>
            <w:tcBorders>
              <w:top w:val="nil"/>
              <w:left w:val="nil"/>
              <w:bottom w:val="nil"/>
              <w:right w:val="nil"/>
            </w:tcBorders>
          </w:tcPr>
          <w:p w:rsidR="00CE58F0" w:rsidRDefault="00CE58F0" w:rsidP="00413B8D">
            <w:pPr>
              <w:jc w:val="right"/>
              <w:rPr>
                <w:sz w:val="22"/>
              </w:rPr>
            </w:pPr>
            <w:r>
              <w:t>79.6</w:t>
            </w:r>
          </w:p>
        </w:tc>
        <w:tc>
          <w:tcPr>
            <w:tcW w:w="1394" w:type="dxa"/>
            <w:tcBorders>
              <w:top w:val="nil"/>
              <w:left w:val="nil"/>
              <w:bottom w:val="nil"/>
              <w:right w:val="nil"/>
            </w:tcBorders>
          </w:tcPr>
          <w:p w:rsidR="00CE58F0" w:rsidRDefault="00CE58F0" w:rsidP="00413B8D">
            <w:pPr>
              <w:jc w:val="right"/>
              <w:rPr>
                <w:sz w:val="22"/>
              </w:rPr>
            </w:pPr>
            <w:r>
              <w:t>72.3</w:t>
            </w:r>
          </w:p>
        </w:tc>
      </w:tr>
      <w:tr w:rsidR="00CE58F0" w:rsidTr="00413B8D">
        <w:tc>
          <w:tcPr>
            <w:tcW w:w="3783" w:type="dxa"/>
            <w:tcBorders>
              <w:top w:val="nil"/>
              <w:left w:val="nil"/>
              <w:bottom w:val="nil"/>
              <w:right w:val="nil"/>
            </w:tcBorders>
          </w:tcPr>
          <w:p w:rsidR="00CE58F0" w:rsidRDefault="00CE58F0" w:rsidP="00413B8D">
            <w:pPr>
              <w:ind w:left="-108"/>
            </w:pPr>
            <w:r>
              <w:t>Overseas bonds</w:t>
            </w:r>
          </w:p>
        </w:tc>
        <w:tc>
          <w:tcPr>
            <w:tcW w:w="1842" w:type="dxa"/>
            <w:tcBorders>
              <w:top w:val="nil"/>
              <w:left w:val="nil"/>
              <w:bottom w:val="nil"/>
              <w:right w:val="nil"/>
            </w:tcBorders>
          </w:tcPr>
          <w:p w:rsidR="00CE58F0" w:rsidRDefault="00CE58F0" w:rsidP="00413B8D">
            <w:pPr>
              <w:ind w:left="-393" w:right="-83"/>
              <w:jc w:val="right"/>
            </w:pPr>
            <w:r>
              <w:t>157.0</w:t>
            </w:r>
          </w:p>
        </w:tc>
        <w:tc>
          <w:tcPr>
            <w:tcW w:w="1510" w:type="dxa"/>
            <w:tcBorders>
              <w:top w:val="nil"/>
              <w:left w:val="nil"/>
              <w:bottom w:val="nil"/>
              <w:right w:val="nil"/>
            </w:tcBorders>
          </w:tcPr>
          <w:p w:rsidR="00CE58F0" w:rsidRPr="00E03AB4" w:rsidRDefault="00CE58F0" w:rsidP="00413B8D">
            <w:pPr>
              <w:jc w:val="right"/>
            </w:pPr>
            <w:r>
              <w:t>4.8</w:t>
            </w:r>
            <w:r w:rsidRPr="00E03AB4">
              <w:t>%</w:t>
            </w:r>
          </w:p>
        </w:tc>
        <w:tc>
          <w:tcPr>
            <w:tcW w:w="1264" w:type="dxa"/>
            <w:tcBorders>
              <w:top w:val="nil"/>
              <w:left w:val="nil"/>
              <w:bottom w:val="nil"/>
              <w:right w:val="nil"/>
            </w:tcBorders>
          </w:tcPr>
          <w:p w:rsidR="00CE58F0" w:rsidRDefault="00CE58F0" w:rsidP="00413B8D">
            <w:pPr>
              <w:jc w:val="right"/>
            </w:pPr>
            <w:r>
              <w:t>164.5</w:t>
            </w:r>
          </w:p>
        </w:tc>
        <w:tc>
          <w:tcPr>
            <w:tcW w:w="1394" w:type="dxa"/>
            <w:tcBorders>
              <w:top w:val="nil"/>
              <w:left w:val="nil"/>
              <w:bottom w:val="nil"/>
              <w:right w:val="nil"/>
            </w:tcBorders>
          </w:tcPr>
          <w:p w:rsidR="00CE58F0" w:rsidRDefault="00CE58F0" w:rsidP="00413B8D">
            <w:pPr>
              <w:jc w:val="right"/>
            </w:pPr>
            <w:r>
              <w:t>149.5</w:t>
            </w:r>
          </w:p>
        </w:tc>
      </w:tr>
      <w:tr w:rsidR="00CE58F0" w:rsidTr="00413B8D">
        <w:tc>
          <w:tcPr>
            <w:tcW w:w="3783" w:type="dxa"/>
            <w:tcBorders>
              <w:top w:val="nil"/>
              <w:left w:val="nil"/>
              <w:bottom w:val="nil"/>
              <w:right w:val="nil"/>
            </w:tcBorders>
          </w:tcPr>
          <w:p w:rsidR="00CE58F0" w:rsidRDefault="00CE58F0" w:rsidP="00413B8D">
            <w:pPr>
              <w:ind w:left="-108"/>
            </w:pPr>
            <w:r>
              <w:t xml:space="preserve">Total equities </w:t>
            </w:r>
          </w:p>
        </w:tc>
        <w:tc>
          <w:tcPr>
            <w:tcW w:w="1842" w:type="dxa"/>
            <w:tcBorders>
              <w:top w:val="nil"/>
              <w:left w:val="nil"/>
              <w:bottom w:val="nil"/>
              <w:right w:val="nil"/>
            </w:tcBorders>
          </w:tcPr>
          <w:p w:rsidR="00CE58F0" w:rsidRDefault="00CE58F0" w:rsidP="00413B8D">
            <w:pPr>
              <w:ind w:left="-393" w:right="-83"/>
              <w:jc w:val="right"/>
            </w:pPr>
            <w:r>
              <w:t>1,921.1</w:t>
            </w:r>
          </w:p>
        </w:tc>
        <w:tc>
          <w:tcPr>
            <w:tcW w:w="1510" w:type="dxa"/>
            <w:tcBorders>
              <w:top w:val="nil"/>
              <w:left w:val="nil"/>
              <w:bottom w:val="nil"/>
              <w:right w:val="nil"/>
            </w:tcBorders>
          </w:tcPr>
          <w:p w:rsidR="00CE58F0" w:rsidRPr="00E03AB4" w:rsidRDefault="00CE58F0" w:rsidP="00413B8D">
            <w:pPr>
              <w:jc w:val="right"/>
            </w:pPr>
            <w:r>
              <w:t>11.9</w:t>
            </w:r>
            <w:r w:rsidRPr="00E03AB4">
              <w:t>%</w:t>
            </w:r>
          </w:p>
        </w:tc>
        <w:tc>
          <w:tcPr>
            <w:tcW w:w="1264" w:type="dxa"/>
            <w:tcBorders>
              <w:top w:val="nil"/>
              <w:left w:val="nil"/>
              <w:bottom w:val="nil"/>
              <w:right w:val="nil"/>
            </w:tcBorders>
          </w:tcPr>
          <w:p w:rsidR="00CE58F0" w:rsidRDefault="00CE58F0" w:rsidP="00413B8D">
            <w:pPr>
              <w:jc w:val="right"/>
            </w:pPr>
            <w:r>
              <w:t>2,149.7</w:t>
            </w:r>
          </w:p>
        </w:tc>
        <w:tc>
          <w:tcPr>
            <w:tcW w:w="1394" w:type="dxa"/>
            <w:tcBorders>
              <w:top w:val="nil"/>
              <w:left w:val="nil"/>
              <w:bottom w:val="nil"/>
              <w:right w:val="nil"/>
            </w:tcBorders>
          </w:tcPr>
          <w:p w:rsidR="00CE58F0" w:rsidRDefault="00CE58F0" w:rsidP="00413B8D">
            <w:pPr>
              <w:jc w:val="right"/>
            </w:pPr>
            <w:r>
              <w:t>1,692.5</w:t>
            </w:r>
          </w:p>
        </w:tc>
      </w:tr>
      <w:tr w:rsidR="00CE58F0" w:rsidTr="00413B8D">
        <w:tc>
          <w:tcPr>
            <w:tcW w:w="3783" w:type="dxa"/>
            <w:tcBorders>
              <w:top w:val="nil"/>
              <w:left w:val="nil"/>
              <w:bottom w:val="nil"/>
              <w:right w:val="nil"/>
            </w:tcBorders>
          </w:tcPr>
          <w:p w:rsidR="00CE58F0" w:rsidRDefault="00CE58F0" w:rsidP="00413B8D">
            <w:pPr>
              <w:ind w:left="-108" w:right="-83"/>
            </w:pPr>
            <w:r>
              <w:t>Alternatives</w:t>
            </w:r>
          </w:p>
        </w:tc>
        <w:tc>
          <w:tcPr>
            <w:tcW w:w="1842" w:type="dxa"/>
            <w:tcBorders>
              <w:top w:val="nil"/>
              <w:left w:val="nil"/>
              <w:bottom w:val="nil"/>
              <w:right w:val="nil"/>
            </w:tcBorders>
          </w:tcPr>
          <w:p w:rsidR="00CE58F0" w:rsidRDefault="00CE58F0" w:rsidP="00413B8D">
            <w:pPr>
              <w:ind w:left="-393" w:right="-83"/>
              <w:jc w:val="right"/>
            </w:pPr>
            <w:r>
              <w:t>2,238.9</w:t>
            </w:r>
          </w:p>
        </w:tc>
        <w:tc>
          <w:tcPr>
            <w:tcW w:w="1510" w:type="dxa"/>
            <w:tcBorders>
              <w:top w:val="nil"/>
              <w:left w:val="nil"/>
              <w:bottom w:val="nil"/>
              <w:right w:val="nil"/>
            </w:tcBorders>
          </w:tcPr>
          <w:p w:rsidR="00CE58F0" w:rsidRPr="00E03AB4" w:rsidRDefault="00CE58F0" w:rsidP="00413B8D">
            <w:pPr>
              <w:jc w:val="right"/>
            </w:pPr>
            <w:r>
              <w:t>3.8</w:t>
            </w:r>
            <w:r w:rsidRPr="00E03AB4">
              <w:t>%</w:t>
            </w:r>
          </w:p>
        </w:tc>
        <w:tc>
          <w:tcPr>
            <w:tcW w:w="1264" w:type="dxa"/>
            <w:tcBorders>
              <w:top w:val="nil"/>
              <w:left w:val="nil"/>
              <w:bottom w:val="nil"/>
              <w:right w:val="nil"/>
            </w:tcBorders>
          </w:tcPr>
          <w:p w:rsidR="00CE58F0" w:rsidRDefault="00CE58F0" w:rsidP="00413B8D">
            <w:pPr>
              <w:jc w:val="right"/>
              <w:rPr>
                <w:sz w:val="22"/>
              </w:rPr>
            </w:pPr>
            <w:r>
              <w:t>2,324.0</w:t>
            </w:r>
          </w:p>
        </w:tc>
        <w:tc>
          <w:tcPr>
            <w:tcW w:w="1394" w:type="dxa"/>
            <w:tcBorders>
              <w:top w:val="nil"/>
              <w:left w:val="nil"/>
              <w:bottom w:val="nil"/>
              <w:right w:val="nil"/>
            </w:tcBorders>
          </w:tcPr>
          <w:p w:rsidR="00CE58F0" w:rsidRDefault="00CE58F0" w:rsidP="00413B8D">
            <w:pPr>
              <w:jc w:val="right"/>
            </w:pPr>
            <w:r>
              <w:t>2,153.8</w:t>
            </w:r>
          </w:p>
        </w:tc>
      </w:tr>
      <w:tr w:rsidR="00CE58F0" w:rsidTr="00413B8D">
        <w:tc>
          <w:tcPr>
            <w:tcW w:w="3783" w:type="dxa"/>
            <w:tcBorders>
              <w:top w:val="nil"/>
              <w:left w:val="nil"/>
              <w:bottom w:val="nil"/>
              <w:right w:val="nil"/>
            </w:tcBorders>
          </w:tcPr>
          <w:p w:rsidR="00CE58F0" w:rsidRDefault="00CE58F0" w:rsidP="00413B8D">
            <w:pPr>
              <w:ind w:left="-108"/>
            </w:pPr>
            <w:r>
              <w:t>Property</w:t>
            </w:r>
          </w:p>
        </w:tc>
        <w:tc>
          <w:tcPr>
            <w:tcW w:w="1842" w:type="dxa"/>
            <w:tcBorders>
              <w:top w:val="nil"/>
              <w:left w:val="nil"/>
              <w:bottom w:val="nil"/>
              <w:right w:val="nil"/>
            </w:tcBorders>
          </w:tcPr>
          <w:p w:rsidR="00CE58F0" w:rsidRDefault="00CE58F0" w:rsidP="00413B8D">
            <w:pPr>
              <w:ind w:left="-393" w:right="-83"/>
              <w:jc w:val="right"/>
            </w:pPr>
            <w:r>
              <w:t>450.5</w:t>
            </w:r>
          </w:p>
        </w:tc>
        <w:tc>
          <w:tcPr>
            <w:tcW w:w="1510" w:type="dxa"/>
            <w:tcBorders>
              <w:top w:val="nil"/>
              <w:left w:val="nil"/>
              <w:bottom w:val="nil"/>
              <w:right w:val="nil"/>
            </w:tcBorders>
          </w:tcPr>
          <w:p w:rsidR="00CE58F0" w:rsidRPr="00E03AB4" w:rsidRDefault="00CE58F0" w:rsidP="00413B8D">
            <w:pPr>
              <w:jc w:val="right"/>
            </w:pPr>
            <w:r>
              <w:t>2.7</w:t>
            </w:r>
            <w:r w:rsidRPr="00E03AB4">
              <w:t>%</w:t>
            </w:r>
          </w:p>
        </w:tc>
        <w:tc>
          <w:tcPr>
            <w:tcW w:w="1264" w:type="dxa"/>
            <w:tcBorders>
              <w:top w:val="nil"/>
              <w:left w:val="nil"/>
              <w:bottom w:val="nil"/>
              <w:right w:val="nil"/>
            </w:tcBorders>
          </w:tcPr>
          <w:p w:rsidR="00CE58F0" w:rsidRDefault="00CE58F0" w:rsidP="00413B8D">
            <w:pPr>
              <w:jc w:val="right"/>
            </w:pPr>
            <w:r>
              <w:t>462.7</w:t>
            </w:r>
          </w:p>
        </w:tc>
        <w:tc>
          <w:tcPr>
            <w:tcW w:w="1394" w:type="dxa"/>
            <w:tcBorders>
              <w:top w:val="nil"/>
              <w:left w:val="nil"/>
              <w:bottom w:val="nil"/>
              <w:right w:val="nil"/>
            </w:tcBorders>
          </w:tcPr>
          <w:p w:rsidR="00CE58F0" w:rsidRDefault="00CE58F0" w:rsidP="00413B8D">
            <w:pPr>
              <w:jc w:val="right"/>
            </w:pPr>
            <w:r>
              <w:t>438.3</w:t>
            </w:r>
          </w:p>
        </w:tc>
      </w:tr>
      <w:tr w:rsidR="00CE58F0" w:rsidTr="00413B8D">
        <w:tc>
          <w:tcPr>
            <w:tcW w:w="3783" w:type="dxa"/>
            <w:tcBorders>
              <w:top w:val="nil"/>
              <w:left w:val="nil"/>
              <w:bottom w:val="nil"/>
              <w:right w:val="nil"/>
            </w:tcBorders>
          </w:tcPr>
          <w:p w:rsidR="00CE58F0" w:rsidRPr="007D6045" w:rsidRDefault="00CE58F0" w:rsidP="00413B8D">
            <w:pPr>
              <w:ind w:left="-108"/>
              <w:rPr>
                <w:b/>
              </w:rPr>
            </w:pPr>
            <w:r>
              <w:rPr>
                <w:b/>
              </w:rPr>
              <w:t xml:space="preserve">Total asset available to pay  benefits </w:t>
            </w:r>
          </w:p>
        </w:tc>
        <w:tc>
          <w:tcPr>
            <w:tcW w:w="1842" w:type="dxa"/>
            <w:tcBorders>
              <w:top w:val="nil"/>
              <w:left w:val="nil"/>
              <w:bottom w:val="nil"/>
              <w:right w:val="nil"/>
            </w:tcBorders>
          </w:tcPr>
          <w:p w:rsidR="00CE58F0" w:rsidRDefault="00CE58F0" w:rsidP="00413B8D">
            <w:pPr>
              <w:ind w:left="-393" w:right="-83"/>
              <w:jc w:val="right"/>
              <w:rPr>
                <w:b/>
                <w:sz w:val="22"/>
              </w:rPr>
            </w:pPr>
            <w:r>
              <w:rPr>
                <w:b/>
              </w:rPr>
              <w:t>5,171.5</w:t>
            </w:r>
          </w:p>
        </w:tc>
        <w:tc>
          <w:tcPr>
            <w:tcW w:w="1510" w:type="dxa"/>
            <w:tcBorders>
              <w:top w:val="nil"/>
              <w:left w:val="nil"/>
              <w:bottom w:val="nil"/>
              <w:right w:val="nil"/>
            </w:tcBorders>
          </w:tcPr>
          <w:p w:rsidR="00CE58F0" w:rsidRPr="004A007A" w:rsidRDefault="00CE58F0" w:rsidP="00413B8D">
            <w:pPr>
              <w:rPr>
                <w:b/>
              </w:rPr>
            </w:pPr>
          </w:p>
        </w:tc>
        <w:tc>
          <w:tcPr>
            <w:tcW w:w="1264" w:type="dxa"/>
            <w:tcBorders>
              <w:top w:val="nil"/>
              <w:left w:val="nil"/>
              <w:bottom w:val="nil"/>
              <w:right w:val="nil"/>
            </w:tcBorders>
          </w:tcPr>
          <w:p w:rsidR="00CE58F0" w:rsidRPr="004A007A" w:rsidRDefault="00CE58F0" w:rsidP="00413B8D">
            <w:pPr>
              <w:jc w:val="right"/>
              <w:rPr>
                <w:b/>
              </w:rPr>
            </w:pPr>
            <w:r>
              <w:rPr>
                <w:b/>
              </w:rPr>
              <w:t>5,508.5</w:t>
            </w:r>
          </w:p>
        </w:tc>
        <w:tc>
          <w:tcPr>
            <w:tcW w:w="1394" w:type="dxa"/>
            <w:tcBorders>
              <w:top w:val="nil"/>
              <w:left w:val="nil"/>
              <w:bottom w:val="nil"/>
              <w:right w:val="nil"/>
            </w:tcBorders>
          </w:tcPr>
          <w:p w:rsidR="00CE58F0" w:rsidRPr="004A007A" w:rsidRDefault="00CE58F0" w:rsidP="00413B8D">
            <w:pPr>
              <w:jc w:val="right"/>
              <w:rPr>
                <w:b/>
              </w:rPr>
            </w:pPr>
            <w:r>
              <w:rPr>
                <w:b/>
              </w:rPr>
              <w:t>4,834.4</w:t>
            </w:r>
          </w:p>
        </w:tc>
      </w:tr>
    </w:tbl>
    <w:p w:rsidR="00CE58F0" w:rsidRDefault="00CE58F0" w:rsidP="00CE58F0">
      <w:pPr>
        <w:ind w:left="720"/>
      </w:pPr>
    </w:p>
    <w:tbl>
      <w:tblPr>
        <w:tblStyle w:val="TableGrid"/>
        <w:tblW w:w="979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1842"/>
        <w:gridCol w:w="1510"/>
        <w:gridCol w:w="1263"/>
        <w:gridCol w:w="1394"/>
      </w:tblGrid>
      <w:tr w:rsidR="00CE58F0" w:rsidTr="00413B8D">
        <w:tc>
          <w:tcPr>
            <w:tcW w:w="3783" w:type="dxa"/>
          </w:tcPr>
          <w:p w:rsidR="00CE58F0" w:rsidRPr="000963E8" w:rsidRDefault="00CE58F0" w:rsidP="00413B8D">
            <w:pPr>
              <w:rPr>
                <w:b/>
              </w:rPr>
            </w:pPr>
          </w:p>
        </w:tc>
        <w:tc>
          <w:tcPr>
            <w:tcW w:w="1842" w:type="dxa"/>
          </w:tcPr>
          <w:p w:rsidR="00CE58F0" w:rsidRPr="000963E8" w:rsidRDefault="00CE58F0" w:rsidP="00413B8D">
            <w:pPr>
              <w:ind w:hanging="108"/>
              <w:jc w:val="right"/>
              <w:rPr>
                <w:b/>
              </w:rPr>
            </w:pPr>
          </w:p>
        </w:tc>
        <w:tc>
          <w:tcPr>
            <w:tcW w:w="1510" w:type="dxa"/>
          </w:tcPr>
          <w:p w:rsidR="00CE58F0" w:rsidRPr="000963E8" w:rsidRDefault="00CE58F0" w:rsidP="00413B8D">
            <w:pPr>
              <w:jc w:val="right"/>
              <w:rPr>
                <w:b/>
              </w:rPr>
            </w:pPr>
          </w:p>
        </w:tc>
        <w:tc>
          <w:tcPr>
            <w:tcW w:w="1263" w:type="dxa"/>
          </w:tcPr>
          <w:p w:rsidR="00CE58F0" w:rsidRPr="000963E8" w:rsidRDefault="00CE58F0" w:rsidP="00413B8D">
            <w:pPr>
              <w:jc w:val="right"/>
              <w:rPr>
                <w:b/>
              </w:rPr>
            </w:pPr>
          </w:p>
        </w:tc>
        <w:tc>
          <w:tcPr>
            <w:tcW w:w="1394" w:type="dxa"/>
          </w:tcPr>
          <w:p w:rsidR="00CE58F0" w:rsidRPr="000963E8" w:rsidRDefault="00CE58F0" w:rsidP="00413B8D">
            <w:pPr>
              <w:jc w:val="right"/>
              <w:rPr>
                <w:b/>
              </w:rPr>
            </w:pPr>
          </w:p>
        </w:tc>
      </w:tr>
      <w:tr w:rsidR="00CE58F0" w:rsidTr="00413B8D">
        <w:tc>
          <w:tcPr>
            <w:tcW w:w="3783" w:type="dxa"/>
          </w:tcPr>
          <w:p w:rsidR="00CE58F0" w:rsidRPr="000963E8" w:rsidRDefault="00CE58F0" w:rsidP="00413B8D">
            <w:pPr>
              <w:rPr>
                <w:b/>
              </w:rPr>
            </w:pPr>
            <w:r w:rsidRPr="000963E8">
              <w:rPr>
                <w:b/>
              </w:rPr>
              <w:t>Asset Type</w:t>
            </w:r>
          </w:p>
        </w:tc>
        <w:tc>
          <w:tcPr>
            <w:tcW w:w="1842" w:type="dxa"/>
          </w:tcPr>
          <w:p w:rsidR="00CE58F0" w:rsidRPr="000963E8" w:rsidRDefault="00CE58F0" w:rsidP="00413B8D">
            <w:pPr>
              <w:ind w:hanging="108"/>
              <w:jc w:val="right"/>
              <w:rPr>
                <w:b/>
              </w:rPr>
            </w:pPr>
            <w:r>
              <w:rPr>
                <w:b/>
              </w:rPr>
              <w:t>31/03/13</w:t>
            </w:r>
          </w:p>
        </w:tc>
        <w:tc>
          <w:tcPr>
            <w:tcW w:w="1510" w:type="dxa"/>
          </w:tcPr>
          <w:p w:rsidR="00CE58F0" w:rsidRPr="000963E8" w:rsidRDefault="00CE58F0" w:rsidP="00413B8D">
            <w:pPr>
              <w:jc w:val="right"/>
              <w:rPr>
                <w:b/>
              </w:rPr>
            </w:pPr>
            <w:r w:rsidRPr="000963E8">
              <w:rPr>
                <w:b/>
              </w:rPr>
              <w:t xml:space="preserve">Percentage Change </w:t>
            </w:r>
          </w:p>
        </w:tc>
        <w:tc>
          <w:tcPr>
            <w:tcW w:w="1263" w:type="dxa"/>
          </w:tcPr>
          <w:p w:rsidR="00CE58F0" w:rsidRPr="000963E8" w:rsidRDefault="00CE58F0" w:rsidP="00413B8D">
            <w:pPr>
              <w:jc w:val="right"/>
              <w:rPr>
                <w:b/>
              </w:rPr>
            </w:pPr>
            <w:r w:rsidRPr="000963E8">
              <w:rPr>
                <w:b/>
              </w:rPr>
              <w:t xml:space="preserve">Value on Increase </w:t>
            </w:r>
          </w:p>
        </w:tc>
        <w:tc>
          <w:tcPr>
            <w:tcW w:w="1394" w:type="dxa"/>
          </w:tcPr>
          <w:p w:rsidR="00CE58F0" w:rsidRPr="000963E8" w:rsidRDefault="00CE58F0" w:rsidP="00413B8D">
            <w:pPr>
              <w:jc w:val="right"/>
              <w:rPr>
                <w:b/>
              </w:rPr>
            </w:pPr>
            <w:r w:rsidRPr="000963E8">
              <w:rPr>
                <w:b/>
              </w:rPr>
              <w:t xml:space="preserve">Value on </w:t>
            </w:r>
          </w:p>
          <w:p w:rsidR="00CE58F0" w:rsidRPr="000963E8" w:rsidRDefault="00CE58F0" w:rsidP="00413B8D">
            <w:pPr>
              <w:jc w:val="right"/>
              <w:rPr>
                <w:b/>
              </w:rPr>
            </w:pPr>
            <w:r w:rsidRPr="000963E8">
              <w:rPr>
                <w:b/>
              </w:rPr>
              <w:t xml:space="preserve">Decrease </w:t>
            </w:r>
          </w:p>
        </w:tc>
      </w:tr>
      <w:tr w:rsidR="00CE58F0" w:rsidTr="00413B8D">
        <w:tc>
          <w:tcPr>
            <w:tcW w:w="3783" w:type="dxa"/>
          </w:tcPr>
          <w:p w:rsidR="00CE58F0" w:rsidRDefault="00CE58F0" w:rsidP="00413B8D">
            <w:pPr>
              <w:rPr>
                <w:b/>
              </w:rPr>
            </w:pPr>
          </w:p>
        </w:tc>
        <w:tc>
          <w:tcPr>
            <w:tcW w:w="1842" w:type="dxa"/>
          </w:tcPr>
          <w:p w:rsidR="00CE58F0" w:rsidRPr="000963E8" w:rsidRDefault="00CE58F0" w:rsidP="00413B8D">
            <w:pPr>
              <w:ind w:hanging="108"/>
              <w:jc w:val="right"/>
              <w:rPr>
                <w:b/>
              </w:rPr>
            </w:pPr>
            <w:r w:rsidRPr="000963E8">
              <w:rPr>
                <w:b/>
              </w:rPr>
              <w:t>£m</w:t>
            </w:r>
          </w:p>
        </w:tc>
        <w:tc>
          <w:tcPr>
            <w:tcW w:w="1510" w:type="dxa"/>
          </w:tcPr>
          <w:p w:rsidR="00CE58F0" w:rsidRPr="000963E8" w:rsidRDefault="00CE58F0" w:rsidP="00413B8D">
            <w:pPr>
              <w:jc w:val="right"/>
              <w:rPr>
                <w:b/>
              </w:rPr>
            </w:pPr>
            <w:r w:rsidRPr="000963E8">
              <w:rPr>
                <w:b/>
              </w:rPr>
              <w:t>%</w:t>
            </w:r>
          </w:p>
        </w:tc>
        <w:tc>
          <w:tcPr>
            <w:tcW w:w="1263" w:type="dxa"/>
          </w:tcPr>
          <w:p w:rsidR="00CE58F0" w:rsidRPr="000963E8" w:rsidRDefault="00CE58F0" w:rsidP="00413B8D">
            <w:pPr>
              <w:jc w:val="right"/>
              <w:rPr>
                <w:b/>
              </w:rPr>
            </w:pPr>
            <w:r w:rsidRPr="000963E8">
              <w:rPr>
                <w:b/>
              </w:rPr>
              <w:t>£m</w:t>
            </w:r>
          </w:p>
        </w:tc>
        <w:tc>
          <w:tcPr>
            <w:tcW w:w="1394" w:type="dxa"/>
          </w:tcPr>
          <w:p w:rsidR="00CE58F0" w:rsidRPr="000963E8" w:rsidRDefault="00CE58F0" w:rsidP="00413B8D">
            <w:pPr>
              <w:jc w:val="right"/>
              <w:rPr>
                <w:b/>
              </w:rPr>
            </w:pPr>
            <w:r w:rsidRPr="000963E8">
              <w:rPr>
                <w:b/>
              </w:rPr>
              <w:t xml:space="preserve">£m </w:t>
            </w:r>
          </w:p>
        </w:tc>
      </w:tr>
      <w:tr w:rsidR="00CE58F0" w:rsidTr="00413B8D">
        <w:tc>
          <w:tcPr>
            <w:tcW w:w="3783" w:type="dxa"/>
          </w:tcPr>
          <w:p w:rsidR="00CE58F0" w:rsidRPr="000963E8" w:rsidRDefault="00CE58F0" w:rsidP="00413B8D">
            <w:r w:rsidRPr="000963E8">
              <w:t xml:space="preserve">Cash and Cash equivalents </w:t>
            </w:r>
          </w:p>
        </w:tc>
        <w:tc>
          <w:tcPr>
            <w:tcW w:w="1842" w:type="dxa"/>
          </w:tcPr>
          <w:p w:rsidR="00CE58F0" w:rsidRDefault="00CE58F0" w:rsidP="00413B8D">
            <w:pPr>
              <w:ind w:hanging="108"/>
              <w:jc w:val="right"/>
            </w:pPr>
            <w:r>
              <w:t>195.1</w:t>
            </w:r>
          </w:p>
        </w:tc>
        <w:tc>
          <w:tcPr>
            <w:tcW w:w="1510" w:type="dxa"/>
          </w:tcPr>
          <w:p w:rsidR="00CE58F0" w:rsidRDefault="00CE58F0" w:rsidP="00413B8D">
            <w:pPr>
              <w:jc w:val="right"/>
            </w:pPr>
            <w:r>
              <w:t>0.0%</w:t>
            </w:r>
          </w:p>
        </w:tc>
        <w:tc>
          <w:tcPr>
            <w:tcW w:w="1263" w:type="dxa"/>
          </w:tcPr>
          <w:p w:rsidR="00CE58F0" w:rsidRDefault="00CE58F0" w:rsidP="00413B8D">
            <w:pPr>
              <w:jc w:val="right"/>
            </w:pPr>
            <w:r>
              <w:t>195.1</w:t>
            </w:r>
          </w:p>
        </w:tc>
        <w:tc>
          <w:tcPr>
            <w:tcW w:w="1394" w:type="dxa"/>
          </w:tcPr>
          <w:p w:rsidR="00CE58F0" w:rsidRDefault="00CE58F0" w:rsidP="00413B8D">
            <w:pPr>
              <w:jc w:val="right"/>
            </w:pPr>
            <w:r>
              <w:t>195.1</w:t>
            </w:r>
          </w:p>
        </w:tc>
      </w:tr>
      <w:tr w:rsidR="00CE58F0" w:rsidTr="00413B8D">
        <w:tc>
          <w:tcPr>
            <w:tcW w:w="3783" w:type="dxa"/>
          </w:tcPr>
          <w:p w:rsidR="00CE58F0" w:rsidRPr="007D6045" w:rsidRDefault="00CE58F0" w:rsidP="00413B8D">
            <w:pPr>
              <w:rPr>
                <w:b/>
              </w:rPr>
            </w:pPr>
            <w:r w:rsidRPr="007D6045">
              <w:rPr>
                <w:b/>
              </w:rPr>
              <w:t>Investment portfolio assets:</w:t>
            </w:r>
          </w:p>
        </w:tc>
        <w:tc>
          <w:tcPr>
            <w:tcW w:w="1842" w:type="dxa"/>
          </w:tcPr>
          <w:p w:rsidR="00CE58F0" w:rsidRDefault="00CE58F0" w:rsidP="00413B8D">
            <w:pPr>
              <w:ind w:hanging="108"/>
            </w:pPr>
          </w:p>
        </w:tc>
        <w:tc>
          <w:tcPr>
            <w:tcW w:w="1510" w:type="dxa"/>
          </w:tcPr>
          <w:p w:rsidR="00CE58F0" w:rsidRDefault="00CE58F0" w:rsidP="00413B8D"/>
        </w:tc>
        <w:tc>
          <w:tcPr>
            <w:tcW w:w="1263" w:type="dxa"/>
          </w:tcPr>
          <w:p w:rsidR="00CE58F0" w:rsidRDefault="00CE58F0" w:rsidP="00413B8D"/>
        </w:tc>
        <w:tc>
          <w:tcPr>
            <w:tcW w:w="1394" w:type="dxa"/>
          </w:tcPr>
          <w:p w:rsidR="00CE58F0" w:rsidRDefault="00CE58F0" w:rsidP="00413B8D">
            <w:pPr>
              <w:jc w:val="right"/>
            </w:pPr>
          </w:p>
        </w:tc>
      </w:tr>
      <w:tr w:rsidR="00CE58F0" w:rsidTr="00413B8D">
        <w:tc>
          <w:tcPr>
            <w:tcW w:w="3783" w:type="dxa"/>
          </w:tcPr>
          <w:p w:rsidR="00CE58F0" w:rsidRDefault="00CE58F0" w:rsidP="00413B8D">
            <w:r>
              <w:t xml:space="preserve">UK bonds </w:t>
            </w:r>
          </w:p>
        </w:tc>
        <w:tc>
          <w:tcPr>
            <w:tcW w:w="1842" w:type="dxa"/>
          </w:tcPr>
          <w:p w:rsidR="00CE58F0" w:rsidRDefault="00CE58F0" w:rsidP="00413B8D">
            <w:pPr>
              <w:ind w:hanging="108"/>
              <w:jc w:val="right"/>
            </w:pPr>
            <w:r>
              <w:t>519.9</w:t>
            </w:r>
          </w:p>
        </w:tc>
        <w:tc>
          <w:tcPr>
            <w:tcW w:w="1510" w:type="dxa"/>
          </w:tcPr>
          <w:p w:rsidR="00CE58F0" w:rsidRPr="00E03AB4" w:rsidRDefault="00CE58F0" w:rsidP="00413B8D">
            <w:pPr>
              <w:jc w:val="right"/>
            </w:pPr>
            <w:r w:rsidRPr="00E03AB4">
              <w:t>4.6%</w:t>
            </w:r>
          </w:p>
        </w:tc>
        <w:tc>
          <w:tcPr>
            <w:tcW w:w="1263" w:type="dxa"/>
          </w:tcPr>
          <w:p w:rsidR="00CE58F0" w:rsidRDefault="00CE58F0" w:rsidP="00413B8D">
            <w:pPr>
              <w:jc w:val="right"/>
            </w:pPr>
            <w:r>
              <w:t>543.8</w:t>
            </w:r>
          </w:p>
        </w:tc>
        <w:tc>
          <w:tcPr>
            <w:tcW w:w="1394" w:type="dxa"/>
          </w:tcPr>
          <w:p w:rsidR="00CE58F0" w:rsidRDefault="00CE58F0" w:rsidP="00413B8D">
            <w:pPr>
              <w:jc w:val="right"/>
            </w:pPr>
            <w:r>
              <w:t>496.0</w:t>
            </w:r>
          </w:p>
        </w:tc>
      </w:tr>
      <w:tr w:rsidR="00CE58F0" w:rsidTr="00413B8D">
        <w:tc>
          <w:tcPr>
            <w:tcW w:w="3783" w:type="dxa"/>
          </w:tcPr>
          <w:p w:rsidR="00CE58F0" w:rsidRDefault="00CE58F0" w:rsidP="00413B8D">
            <w:r>
              <w:t>Overseas bonds</w:t>
            </w:r>
          </w:p>
        </w:tc>
        <w:tc>
          <w:tcPr>
            <w:tcW w:w="1842" w:type="dxa"/>
          </w:tcPr>
          <w:p w:rsidR="00CE58F0" w:rsidRDefault="00CE58F0" w:rsidP="00413B8D">
            <w:pPr>
              <w:ind w:hanging="108"/>
              <w:jc w:val="right"/>
            </w:pPr>
            <w:r>
              <w:t>323.7</w:t>
            </w:r>
          </w:p>
        </w:tc>
        <w:tc>
          <w:tcPr>
            <w:tcW w:w="1510" w:type="dxa"/>
          </w:tcPr>
          <w:p w:rsidR="00CE58F0" w:rsidRPr="00E03AB4" w:rsidRDefault="00CE58F0" w:rsidP="00413B8D">
            <w:pPr>
              <w:jc w:val="right"/>
            </w:pPr>
            <w:r w:rsidRPr="00E03AB4">
              <w:t>8.7%</w:t>
            </w:r>
          </w:p>
        </w:tc>
        <w:tc>
          <w:tcPr>
            <w:tcW w:w="1263" w:type="dxa"/>
          </w:tcPr>
          <w:p w:rsidR="00CE58F0" w:rsidRDefault="00CE58F0" w:rsidP="00413B8D">
            <w:pPr>
              <w:jc w:val="right"/>
            </w:pPr>
            <w:r>
              <w:t>351.8</w:t>
            </w:r>
          </w:p>
        </w:tc>
        <w:tc>
          <w:tcPr>
            <w:tcW w:w="1394" w:type="dxa"/>
          </w:tcPr>
          <w:p w:rsidR="00CE58F0" w:rsidRDefault="00CE58F0" w:rsidP="00413B8D">
            <w:pPr>
              <w:jc w:val="right"/>
            </w:pPr>
            <w:r>
              <w:t>295.5</w:t>
            </w:r>
          </w:p>
        </w:tc>
      </w:tr>
      <w:tr w:rsidR="00CE58F0" w:rsidTr="00413B8D">
        <w:tc>
          <w:tcPr>
            <w:tcW w:w="3783" w:type="dxa"/>
          </w:tcPr>
          <w:p w:rsidR="00CE58F0" w:rsidRDefault="00CE58F0" w:rsidP="00413B8D">
            <w:r>
              <w:t xml:space="preserve">Total equities </w:t>
            </w:r>
          </w:p>
        </w:tc>
        <w:tc>
          <w:tcPr>
            <w:tcW w:w="1842" w:type="dxa"/>
          </w:tcPr>
          <w:p w:rsidR="00CE58F0" w:rsidRDefault="00CE58F0" w:rsidP="00413B8D">
            <w:pPr>
              <w:ind w:hanging="108"/>
              <w:jc w:val="right"/>
            </w:pPr>
            <w:r>
              <w:t>1,749.3</w:t>
            </w:r>
          </w:p>
        </w:tc>
        <w:tc>
          <w:tcPr>
            <w:tcW w:w="1510" w:type="dxa"/>
          </w:tcPr>
          <w:p w:rsidR="00CE58F0" w:rsidRPr="00E03AB4" w:rsidRDefault="00CE58F0" w:rsidP="00413B8D">
            <w:pPr>
              <w:jc w:val="right"/>
            </w:pPr>
            <w:r w:rsidRPr="00E03AB4">
              <w:t>12.8%</w:t>
            </w:r>
          </w:p>
        </w:tc>
        <w:tc>
          <w:tcPr>
            <w:tcW w:w="1263" w:type="dxa"/>
          </w:tcPr>
          <w:p w:rsidR="00CE58F0" w:rsidRDefault="00CE58F0" w:rsidP="00413B8D">
            <w:pPr>
              <w:jc w:val="right"/>
            </w:pPr>
            <w:r>
              <w:t>1,973.2</w:t>
            </w:r>
          </w:p>
        </w:tc>
        <w:tc>
          <w:tcPr>
            <w:tcW w:w="1394" w:type="dxa"/>
          </w:tcPr>
          <w:p w:rsidR="00CE58F0" w:rsidRDefault="00CE58F0" w:rsidP="00413B8D">
            <w:pPr>
              <w:jc w:val="right"/>
            </w:pPr>
            <w:r>
              <w:t>1,525.5</w:t>
            </w:r>
          </w:p>
        </w:tc>
      </w:tr>
      <w:tr w:rsidR="00CE58F0" w:rsidTr="00413B8D">
        <w:tc>
          <w:tcPr>
            <w:tcW w:w="3783" w:type="dxa"/>
          </w:tcPr>
          <w:p w:rsidR="00CE58F0" w:rsidRDefault="00CE58F0" w:rsidP="00413B8D">
            <w:r>
              <w:t>Index linked gilts</w:t>
            </w:r>
          </w:p>
        </w:tc>
        <w:tc>
          <w:tcPr>
            <w:tcW w:w="1842" w:type="dxa"/>
          </w:tcPr>
          <w:p w:rsidR="00CE58F0" w:rsidRDefault="00CE58F0" w:rsidP="00413B8D">
            <w:pPr>
              <w:ind w:hanging="108"/>
              <w:jc w:val="right"/>
            </w:pPr>
            <w:r>
              <w:t>164.9</w:t>
            </w:r>
          </w:p>
        </w:tc>
        <w:tc>
          <w:tcPr>
            <w:tcW w:w="1510" w:type="dxa"/>
          </w:tcPr>
          <w:p w:rsidR="00CE58F0" w:rsidRPr="00E03AB4" w:rsidRDefault="00CE58F0" w:rsidP="00413B8D">
            <w:pPr>
              <w:jc w:val="right"/>
            </w:pPr>
            <w:r w:rsidRPr="00E03AB4">
              <w:t>8.1%</w:t>
            </w:r>
          </w:p>
        </w:tc>
        <w:tc>
          <w:tcPr>
            <w:tcW w:w="1263" w:type="dxa"/>
          </w:tcPr>
          <w:p w:rsidR="00CE58F0" w:rsidRDefault="00CE58F0" w:rsidP="00413B8D">
            <w:pPr>
              <w:jc w:val="right"/>
            </w:pPr>
            <w:r>
              <w:t>178.2</w:t>
            </w:r>
          </w:p>
        </w:tc>
        <w:tc>
          <w:tcPr>
            <w:tcW w:w="1394" w:type="dxa"/>
          </w:tcPr>
          <w:p w:rsidR="00CE58F0" w:rsidRDefault="00CE58F0" w:rsidP="00413B8D">
            <w:pPr>
              <w:jc w:val="right"/>
            </w:pPr>
            <w:r>
              <w:t>151.5</w:t>
            </w:r>
          </w:p>
        </w:tc>
      </w:tr>
      <w:tr w:rsidR="00CE58F0" w:rsidTr="00413B8D">
        <w:tc>
          <w:tcPr>
            <w:tcW w:w="3783" w:type="dxa"/>
          </w:tcPr>
          <w:p w:rsidR="00CE58F0" w:rsidRDefault="00CE58F0" w:rsidP="00413B8D">
            <w:r>
              <w:t xml:space="preserve">Alternatives </w:t>
            </w:r>
          </w:p>
        </w:tc>
        <w:tc>
          <w:tcPr>
            <w:tcW w:w="1842" w:type="dxa"/>
          </w:tcPr>
          <w:p w:rsidR="00CE58F0" w:rsidRDefault="00CE58F0" w:rsidP="00413B8D">
            <w:pPr>
              <w:ind w:hanging="108"/>
              <w:jc w:val="right"/>
            </w:pPr>
            <w:r>
              <w:t>1,601.2</w:t>
            </w:r>
          </w:p>
        </w:tc>
        <w:tc>
          <w:tcPr>
            <w:tcW w:w="1510" w:type="dxa"/>
          </w:tcPr>
          <w:p w:rsidR="00CE58F0" w:rsidRPr="00E03AB4" w:rsidRDefault="00CE58F0" w:rsidP="00413B8D">
            <w:pPr>
              <w:jc w:val="right"/>
            </w:pPr>
            <w:r w:rsidRPr="00E03AB4">
              <w:t>3.6%</w:t>
            </w:r>
          </w:p>
        </w:tc>
        <w:tc>
          <w:tcPr>
            <w:tcW w:w="1263" w:type="dxa"/>
          </w:tcPr>
          <w:p w:rsidR="00CE58F0" w:rsidRDefault="00CE58F0" w:rsidP="00413B8D">
            <w:pPr>
              <w:jc w:val="right"/>
            </w:pPr>
            <w:r>
              <w:t>1,658.8</w:t>
            </w:r>
          </w:p>
        </w:tc>
        <w:tc>
          <w:tcPr>
            <w:tcW w:w="1394" w:type="dxa"/>
          </w:tcPr>
          <w:p w:rsidR="00CE58F0" w:rsidRDefault="00CE58F0" w:rsidP="00413B8D">
            <w:pPr>
              <w:jc w:val="right"/>
            </w:pPr>
            <w:r>
              <w:t>1,543.6</w:t>
            </w:r>
          </w:p>
        </w:tc>
      </w:tr>
      <w:tr w:rsidR="00CE58F0" w:rsidTr="00413B8D">
        <w:tc>
          <w:tcPr>
            <w:tcW w:w="3783" w:type="dxa"/>
          </w:tcPr>
          <w:p w:rsidR="00CE58F0" w:rsidRDefault="00CE58F0" w:rsidP="00413B8D">
            <w:r>
              <w:t>Property</w:t>
            </w:r>
          </w:p>
        </w:tc>
        <w:tc>
          <w:tcPr>
            <w:tcW w:w="1842" w:type="dxa"/>
          </w:tcPr>
          <w:p w:rsidR="00CE58F0" w:rsidRDefault="00CE58F0" w:rsidP="00413B8D">
            <w:pPr>
              <w:ind w:hanging="108"/>
              <w:jc w:val="right"/>
            </w:pPr>
            <w:r>
              <w:t>434.9</w:t>
            </w:r>
          </w:p>
        </w:tc>
        <w:tc>
          <w:tcPr>
            <w:tcW w:w="1510" w:type="dxa"/>
          </w:tcPr>
          <w:p w:rsidR="00CE58F0" w:rsidRPr="00E03AB4" w:rsidRDefault="00CE58F0" w:rsidP="00413B8D">
            <w:pPr>
              <w:jc w:val="right"/>
            </w:pPr>
            <w:r w:rsidRPr="00E03AB4">
              <w:t>1.8%</w:t>
            </w:r>
          </w:p>
        </w:tc>
        <w:tc>
          <w:tcPr>
            <w:tcW w:w="1263" w:type="dxa"/>
          </w:tcPr>
          <w:p w:rsidR="00CE58F0" w:rsidRDefault="00CE58F0" w:rsidP="00413B8D">
            <w:pPr>
              <w:jc w:val="right"/>
            </w:pPr>
            <w:r>
              <w:t>442.7</w:t>
            </w:r>
          </w:p>
        </w:tc>
        <w:tc>
          <w:tcPr>
            <w:tcW w:w="1394" w:type="dxa"/>
          </w:tcPr>
          <w:p w:rsidR="00CE58F0" w:rsidRDefault="00CE58F0" w:rsidP="00413B8D">
            <w:pPr>
              <w:jc w:val="right"/>
            </w:pPr>
            <w:r>
              <w:t>427.1</w:t>
            </w:r>
          </w:p>
        </w:tc>
      </w:tr>
      <w:tr w:rsidR="00CE58F0" w:rsidTr="00413B8D">
        <w:trPr>
          <w:trHeight w:val="538"/>
        </w:trPr>
        <w:tc>
          <w:tcPr>
            <w:tcW w:w="3783" w:type="dxa"/>
          </w:tcPr>
          <w:p w:rsidR="00CE58F0" w:rsidRPr="007D6045" w:rsidRDefault="00CE58F0" w:rsidP="00413B8D">
            <w:pPr>
              <w:rPr>
                <w:b/>
              </w:rPr>
            </w:pPr>
            <w:r>
              <w:rPr>
                <w:b/>
              </w:rPr>
              <w:t xml:space="preserve">Total asset available to pay benefits </w:t>
            </w:r>
          </w:p>
        </w:tc>
        <w:tc>
          <w:tcPr>
            <w:tcW w:w="1842" w:type="dxa"/>
          </w:tcPr>
          <w:p w:rsidR="00CE58F0" w:rsidRPr="004A007A" w:rsidRDefault="00CE58F0" w:rsidP="00413B8D">
            <w:pPr>
              <w:ind w:hanging="108"/>
              <w:jc w:val="right"/>
              <w:rPr>
                <w:b/>
              </w:rPr>
            </w:pPr>
            <w:r w:rsidRPr="002C1CA1">
              <w:rPr>
                <w:b/>
              </w:rPr>
              <w:t>4,989.0</w:t>
            </w:r>
          </w:p>
        </w:tc>
        <w:tc>
          <w:tcPr>
            <w:tcW w:w="1510" w:type="dxa"/>
          </w:tcPr>
          <w:p w:rsidR="00CE58F0" w:rsidRPr="004A007A" w:rsidRDefault="00CE58F0" w:rsidP="00413B8D">
            <w:pPr>
              <w:rPr>
                <w:b/>
              </w:rPr>
            </w:pPr>
          </w:p>
        </w:tc>
        <w:tc>
          <w:tcPr>
            <w:tcW w:w="1263" w:type="dxa"/>
          </w:tcPr>
          <w:p w:rsidR="00CE58F0" w:rsidRPr="004A007A" w:rsidRDefault="00CE58F0" w:rsidP="00413B8D">
            <w:pPr>
              <w:jc w:val="right"/>
              <w:rPr>
                <w:b/>
              </w:rPr>
            </w:pPr>
            <w:r w:rsidRPr="002C1CA1">
              <w:rPr>
                <w:b/>
              </w:rPr>
              <w:t>5,343.</w:t>
            </w:r>
            <w:r>
              <w:rPr>
                <w:b/>
              </w:rPr>
              <w:t>6</w:t>
            </w:r>
          </w:p>
        </w:tc>
        <w:tc>
          <w:tcPr>
            <w:tcW w:w="1394" w:type="dxa"/>
          </w:tcPr>
          <w:p w:rsidR="00CE58F0" w:rsidRDefault="00CE58F0" w:rsidP="00413B8D">
            <w:pPr>
              <w:jc w:val="right"/>
              <w:rPr>
                <w:b/>
              </w:rPr>
            </w:pPr>
            <w:r w:rsidRPr="002C1CA1">
              <w:rPr>
                <w:b/>
              </w:rPr>
              <w:t>4,634.</w:t>
            </w:r>
            <w:r>
              <w:rPr>
                <w:b/>
              </w:rPr>
              <w:t>3</w:t>
            </w:r>
          </w:p>
          <w:p w:rsidR="00CE58F0" w:rsidRPr="004A007A" w:rsidRDefault="00CE58F0" w:rsidP="00413B8D">
            <w:pPr>
              <w:jc w:val="right"/>
              <w:rPr>
                <w:b/>
              </w:rPr>
            </w:pPr>
          </w:p>
        </w:tc>
      </w:tr>
    </w:tbl>
    <w:p w:rsidR="00CE58F0" w:rsidRDefault="00CE58F0" w:rsidP="00CE58F0">
      <w:pPr>
        <w:ind w:firstLine="709"/>
        <w:rPr>
          <w:b/>
        </w:rPr>
      </w:pPr>
    </w:p>
    <w:p w:rsidR="00CE58F0" w:rsidRDefault="00CE58F0" w:rsidP="00CE58F0">
      <w:pPr>
        <w:ind w:firstLine="709"/>
        <w:rPr>
          <w:b/>
        </w:rPr>
      </w:pPr>
      <w:r>
        <w:rPr>
          <w:b/>
        </w:rPr>
        <w:t>I</w:t>
      </w:r>
      <w:r w:rsidRPr="007D6045">
        <w:rPr>
          <w:b/>
        </w:rPr>
        <w:t xml:space="preserve">nterest Rate Risk </w:t>
      </w:r>
    </w:p>
    <w:p w:rsidR="00CE58F0" w:rsidRDefault="00CE58F0" w:rsidP="00CE58F0">
      <w:pPr>
        <w:ind w:left="720"/>
        <w:rPr>
          <w:b/>
        </w:rPr>
      </w:pPr>
    </w:p>
    <w:p w:rsidR="00CE58F0" w:rsidRDefault="00CE58F0" w:rsidP="00CE58F0">
      <w:pPr>
        <w:ind w:left="720"/>
      </w:pPr>
      <w:r>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CE58F0" w:rsidRDefault="00CE58F0" w:rsidP="00CE58F0">
      <w:pPr>
        <w:ind w:left="720"/>
      </w:pPr>
    </w:p>
    <w:p w:rsidR="00CE58F0" w:rsidRDefault="00CE58F0" w:rsidP="00CE58F0">
      <w:pPr>
        <w:ind w:left="720"/>
      </w:pPr>
      <w:r>
        <w:t>The Fund's interest rate risk is routinely monitored by the Investment Panel and its investment advisors.  The Fund's direct exposure to interest rate movements as at 31 March 2014 and 31 March 2013 is set out below.  These disclosures present interest rate risk based on the underlying fi</w:t>
      </w:r>
      <w:r w:rsidR="00BE7D70">
        <w:t>nancial assets at fair value.</w:t>
      </w:r>
    </w:p>
    <w:p w:rsidR="00CE58F0" w:rsidRDefault="00CE58F0" w:rsidP="00CE58F0">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2532"/>
        <w:gridCol w:w="2423"/>
      </w:tblGrid>
      <w:tr w:rsidR="00CE58F0" w:rsidTr="00413B8D">
        <w:tc>
          <w:tcPr>
            <w:tcW w:w="4866" w:type="dxa"/>
          </w:tcPr>
          <w:p w:rsidR="00CE58F0" w:rsidRPr="002648EB" w:rsidRDefault="00CE58F0" w:rsidP="00BE7D70">
            <w:pPr>
              <w:rPr>
                <w:b/>
              </w:rPr>
            </w:pPr>
            <w:r w:rsidRPr="002648EB">
              <w:rPr>
                <w:b/>
              </w:rPr>
              <w:t xml:space="preserve">Asset Type </w:t>
            </w:r>
          </w:p>
        </w:tc>
        <w:tc>
          <w:tcPr>
            <w:tcW w:w="2605" w:type="dxa"/>
          </w:tcPr>
          <w:p w:rsidR="00CE58F0" w:rsidRPr="002648EB" w:rsidRDefault="00CE58F0" w:rsidP="00413B8D">
            <w:pPr>
              <w:jc w:val="right"/>
              <w:rPr>
                <w:b/>
              </w:rPr>
            </w:pPr>
            <w:r>
              <w:rPr>
                <w:b/>
              </w:rPr>
              <w:t>31/03/14</w:t>
            </w:r>
          </w:p>
        </w:tc>
        <w:tc>
          <w:tcPr>
            <w:tcW w:w="2491" w:type="dxa"/>
          </w:tcPr>
          <w:p w:rsidR="00CE58F0" w:rsidRPr="002648EB" w:rsidRDefault="00CE58F0" w:rsidP="00413B8D">
            <w:pPr>
              <w:ind w:right="-166"/>
              <w:jc w:val="center"/>
              <w:rPr>
                <w:b/>
              </w:rPr>
            </w:pPr>
            <w:r>
              <w:rPr>
                <w:b/>
              </w:rPr>
              <w:t xml:space="preserve">                   31/03/13</w:t>
            </w:r>
          </w:p>
        </w:tc>
      </w:tr>
      <w:tr w:rsidR="00CE58F0" w:rsidTr="00413B8D">
        <w:tc>
          <w:tcPr>
            <w:tcW w:w="4866" w:type="dxa"/>
          </w:tcPr>
          <w:p w:rsidR="00CE58F0" w:rsidRPr="002648EB" w:rsidRDefault="00CE58F0" w:rsidP="00413B8D">
            <w:pPr>
              <w:rPr>
                <w:b/>
              </w:rPr>
            </w:pPr>
          </w:p>
        </w:tc>
        <w:tc>
          <w:tcPr>
            <w:tcW w:w="2605" w:type="dxa"/>
          </w:tcPr>
          <w:p w:rsidR="00CE58F0" w:rsidRPr="002648EB" w:rsidRDefault="00CE58F0" w:rsidP="00413B8D">
            <w:pPr>
              <w:jc w:val="right"/>
              <w:rPr>
                <w:b/>
              </w:rPr>
            </w:pPr>
            <w:r w:rsidRPr="002648EB">
              <w:rPr>
                <w:b/>
              </w:rPr>
              <w:t>£</w:t>
            </w:r>
            <w:r>
              <w:rPr>
                <w:b/>
              </w:rPr>
              <w:t>m</w:t>
            </w:r>
          </w:p>
        </w:tc>
        <w:tc>
          <w:tcPr>
            <w:tcW w:w="2491" w:type="dxa"/>
          </w:tcPr>
          <w:p w:rsidR="00CE58F0" w:rsidRPr="002648EB" w:rsidRDefault="00CE58F0" w:rsidP="00413B8D">
            <w:pPr>
              <w:jc w:val="right"/>
              <w:rPr>
                <w:b/>
              </w:rPr>
            </w:pPr>
            <w:r w:rsidRPr="002648EB">
              <w:rPr>
                <w:b/>
              </w:rPr>
              <w:t>£</w:t>
            </w:r>
            <w:r>
              <w:rPr>
                <w:b/>
              </w:rPr>
              <w:t>m</w:t>
            </w:r>
          </w:p>
        </w:tc>
      </w:tr>
      <w:tr w:rsidR="00CE58F0" w:rsidTr="00413B8D">
        <w:tc>
          <w:tcPr>
            <w:tcW w:w="4866" w:type="dxa"/>
          </w:tcPr>
          <w:p w:rsidR="00CE58F0" w:rsidRPr="000963E8" w:rsidRDefault="00CE58F0" w:rsidP="00413B8D">
            <w:r w:rsidRPr="000963E8">
              <w:t>Cash and cash equivalents</w:t>
            </w:r>
          </w:p>
        </w:tc>
        <w:tc>
          <w:tcPr>
            <w:tcW w:w="2605" w:type="dxa"/>
          </w:tcPr>
          <w:p w:rsidR="00CE58F0" w:rsidRPr="004F15B7" w:rsidRDefault="00CE58F0" w:rsidP="00413B8D">
            <w:pPr>
              <w:jc w:val="right"/>
            </w:pPr>
            <w:r>
              <w:t>315.5</w:t>
            </w:r>
          </w:p>
        </w:tc>
        <w:tc>
          <w:tcPr>
            <w:tcW w:w="2491" w:type="dxa"/>
          </w:tcPr>
          <w:p w:rsidR="00CE58F0" w:rsidRPr="004F15B7" w:rsidRDefault="00CE58F0" w:rsidP="00413B8D">
            <w:pPr>
              <w:jc w:val="right"/>
            </w:pPr>
            <w:r>
              <w:t>170.5</w:t>
            </w:r>
          </w:p>
        </w:tc>
      </w:tr>
      <w:tr w:rsidR="00CE58F0" w:rsidTr="00413B8D">
        <w:tc>
          <w:tcPr>
            <w:tcW w:w="4866" w:type="dxa"/>
          </w:tcPr>
          <w:p w:rsidR="00CE58F0" w:rsidRPr="000963E8" w:rsidRDefault="00CE58F0" w:rsidP="00413B8D">
            <w:r w:rsidRPr="000963E8">
              <w:t xml:space="preserve">Fixed interest securities </w:t>
            </w:r>
          </w:p>
        </w:tc>
        <w:tc>
          <w:tcPr>
            <w:tcW w:w="2605" w:type="dxa"/>
          </w:tcPr>
          <w:p w:rsidR="00CE58F0" w:rsidRPr="004F15B7" w:rsidRDefault="00CE58F0" w:rsidP="00413B8D">
            <w:pPr>
              <w:jc w:val="right"/>
            </w:pPr>
            <w:r>
              <w:t>1,250.3</w:t>
            </w:r>
          </w:p>
        </w:tc>
        <w:tc>
          <w:tcPr>
            <w:tcW w:w="2491" w:type="dxa"/>
          </w:tcPr>
          <w:p w:rsidR="00CE58F0" w:rsidRPr="004F15B7" w:rsidRDefault="00CE58F0" w:rsidP="00413B8D">
            <w:pPr>
              <w:jc w:val="right"/>
            </w:pPr>
            <w:r>
              <w:t>1,255.5</w:t>
            </w:r>
          </w:p>
        </w:tc>
      </w:tr>
      <w:tr w:rsidR="00CE58F0" w:rsidTr="00413B8D">
        <w:tc>
          <w:tcPr>
            <w:tcW w:w="4866" w:type="dxa"/>
          </w:tcPr>
          <w:p w:rsidR="00CE58F0" w:rsidRPr="004F15B7" w:rsidRDefault="00CE58F0" w:rsidP="00413B8D">
            <w:pPr>
              <w:rPr>
                <w:b/>
              </w:rPr>
            </w:pPr>
            <w:r w:rsidRPr="004F15B7">
              <w:rPr>
                <w:b/>
              </w:rPr>
              <w:t xml:space="preserve">Total </w:t>
            </w:r>
          </w:p>
        </w:tc>
        <w:tc>
          <w:tcPr>
            <w:tcW w:w="2605" w:type="dxa"/>
          </w:tcPr>
          <w:p w:rsidR="00CE58F0" w:rsidRPr="004F15B7" w:rsidRDefault="00CE58F0" w:rsidP="00413B8D">
            <w:pPr>
              <w:jc w:val="right"/>
              <w:rPr>
                <w:b/>
              </w:rPr>
            </w:pPr>
            <w:r>
              <w:rPr>
                <w:b/>
              </w:rPr>
              <w:t>1,565.8</w:t>
            </w:r>
          </w:p>
        </w:tc>
        <w:tc>
          <w:tcPr>
            <w:tcW w:w="2491" w:type="dxa"/>
          </w:tcPr>
          <w:p w:rsidR="00CE58F0" w:rsidRPr="004F15B7" w:rsidRDefault="00CE58F0" w:rsidP="00413B8D">
            <w:pPr>
              <w:jc w:val="right"/>
              <w:rPr>
                <w:b/>
              </w:rPr>
            </w:pPr>
            <w:r>
              <w:rPr>
                <w:b/>
              </w:rPr>
              <w:t>1,426.0</w:t>
            </w:r>
          </w:p>
        </w:tc>
      </w:tr>
    </w:tbl>
    <w:p w:rsidR="00CE58F0" w:rsidRDefault="00CE58F0" w:rsidP="00CE58F0">
      <w:pPr>
        <w:ind w:left="720"/>
      </w:pPr>
    </w:p>
    <w:p w:rsidR="00CE58F0" w:rsidRDefault="00CE58F0" w:rsidP="00CE58F0">
      <w:pPr>
        <w:ind w:left="720"/>
        <w:rPr>
          <w:b/>
        </w:rPr>
      </w:pPr>
    </w:p>
    <w:p w:rsidR="00CE58F0" w:rsidRDefault="00CE58F0" w:rsidP="00CE58F0">
      <w:pPr>
        <w:ind w:left="720"/>
        <w:rPr>
          <w:b/>
        </w:rPr>
      </w:pPr>
      <w:r>
        <w:rPr>
          <w:b/>
        </w:rPr>
        <w:t xml:space="preserve">Interest rate risk sensitivity analysis </w:t>
      </w:r>
    </w:p>
    <w:p w:rsidR="00CE58F0" w:rsidRDefault="00CE58F0" w:rsidP="00CE58F0">
      <w:pPr>
        <w:ind w:left="720"/>
        <w:rPr>
          <w:b/>
        </w:rPr>
      </w:pPr>
    </w:p>
    <w:p w:rsidR="00CE58F0" w:rsidRDefault="00CE58F0" w:rsidP="00CE58F0">
      <w:pPr>
        <w:ind w:left="720"/>
      </w:pPr>
      <w:r>
        <w:t xml:space="preserve">The Fund has recognised that interest rates can vary and can affect both income to the Fund and the value of the net assets available to pay benefits. A 110 basis point (BPS) movement in interest rates is consistent with the level of sensitivity applied as part of the Fund's risk management strategy.  The Fund's investment advisor has advised that long–term average rates are expected to move less than 110 basis point for one year to the next and experience suggests that such movements are likely. </w:t>
      </w:r>
    </w:p>
    <w:p w:rsidR="00CE58F0" w:rsidRDefault="00CE58F0" w:rsidP="00CE58F0">
      <w:pPr>
        <w:ind w:left="720"/>
      </w:pPr>
    </w:p>
    <w:p w:rsidR="00CE58F0" w:rsidRDefault="00CE58F0" w:rsidP="00CE58F0">
      <w:pPr>
        <w:ind w:left="720"/>
      </w:pPr>
      <w:r>
        <w:t xml:space="preserve">The analysis that follows assumes that all other variables, in particular exchange rates, remain constant, and shows the effect in the year on the net assets available to pay benefits of a +/- 100 BPS change in interest rates: </w:t>
      </w:r>
    </w:p>
    <w:tbl>
      <w:tblPr>
        <w:tblStyle w:val="TableGrid"/>
        <w:tblW w:w="10296" w:type="dxa"/>
        <w:tblInd w:w="7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24"/>
        <w:gridCol w:w="2737"/>
        <w:gridCol w:w="1799"/>
        <w:gridCol w:w="1836"/>
      </w:tblGrid>
      <w:tr w:rsidR="00CE58F0" w:rsidTr="00413B8D">
        <w:tc>
          <w:tcPr>
            <w:tcW w:w="3924" w:type="dxa"/>
            <w:tcBorders>
              <w:top w:val="nil"/>
              <w:bottom w:val="nil"/>
            </w:tcBorders>
          </w:tcPr>
          <w:p w:rsidR="00783C33" w:rsidRDefault="00783C33" w:rsidP="00413B8D">
            <w:pPr>
              <w:rPr>
                <w:b/>
              </w:rPr>
            </w:pPr>
          </w:p>
          <w:p w:rsidR="00CE58F0" w:rsidRPr="002648EB" w:rsidRDefault="00CE58F0" w:rsidP="00413B8D">
            <w:pPr>
              <w:rPr>
                <w:b/>
              </w:rPr>
            </w:pPr>
            <w:r w:rsidRPr="002648EB">
              <w:rPr>
                <w:b/>
              </w:rPr>
              <w:t xml:space="preserve">Asset Type </w:t>
            </w:r>
          </w:p>
        </w:tc>
        <w:tc>
          <w:tcPr>
            <w:tcW w:w="2737" w:type="dxa"/>
            <w:tcBorders>
              <w:top w:val="nil"/>
              <w:bottom w:val="nil"/>
            </w:tcBorders>
          </w:tcPr>
          <w:p w:rsidR="00CE58F0" w:rsidRDefault="00CE58F0" w:rsidP="00413B8D">
            <w:pPr>
              <w:jc w:val="right"/>
              <w:rPr>
                <w:b/>
              </w:rPr>
            </w:pPr>
          </w:p>
          <w:p w:rsidR="00CE58F0" w:rsidRPr="002648EB" w:rsidRDefault="00CE58F0" w:rsidP="00413B8D">
            <w:pPr>
              <w:jc w:val="right"/>
              <w:rPr>
                <w:b/>
              </w:rPr>
            </w:pPr>
          </w:p>
        </w:tc>
        <w:tc>
          <w:tcPr>
            <w:tcW w:w="3635" w:type="dxa"/>
            <w:gridSpan w:val="2"/>
            <w:tcBorders>
              <w:top w:val="nil"/>
              <w:bottom w:val="nil"/>
            </w:tcBorders>
          </w:tcPr>
          <w:p w:rsidR="00CE58F0" w:rsidRPr="002648EB" w:rsidRDefault="00CE58F0" w:rsidP="00413B8D">
            <w:pPr>
              <w:jc w:val="right"/>
              <w:rPr>
                <w:b/>
              </w:rPr>
            </w:pPr>
            <w:r>
              <w:rPr>
                <w:b/>
              </w:rPr>
              <w:t xml:space="preserve">Change in year in net assets available to pay benefits  </w:t>
            </w:r>
          </w:p>
        </w:tc>
      </w:tr>
      <w:tr w:rsidR="00CE58F0" w:rsidTr="00413B8D">
        <w:tc>
          <w:tcPr>
            <w:tcW w:w="3924" w:type="dxa"/>
            <w:tcBorders>
              <w:top w:val="nil"/>
              <w:bottom w:val="nil"/>
            </w:tcBorders>
          </w:tcPr>
          <w:p w:rsidR="00CE58F0" w:rsidRPr="002648EB" w:rsidRDefault="00CE58F0" w:rsidP="00413B8D">
            <w:pPr>
              <w:rPr>
                <w:b/>
              </w:rPr>
            </w:pPr>
          </w:p>
        </w:tc>
        <w:tc>
          <w:tcPr>
            <w:tcW w:w="2737" w:type="dxa"/>
            <w:tcBorders>
              <w:top w:val="nil"/>
              <w:bottom w:val="nil"/>
            </w:tcBorders>
          </w:tcPr>
          <w:p w:rsidR="00CE58F0" w:rsidRPr="002648EB" w:rsidRDefault="00CE58F0" w:rsidP="00413B8D">
            <w:pPr>
              <w:jc w:val="right"/>
              <w:rPr>
                <w:b/>
              </w:rPr>
            </w:pPr>
            <w:r>
              <w:rPr>
                <w:b/>
              </w:rPr>
              <w:t>31/03/14</w:t>
            </w:r>
          </w:p>
        </w:tc>
        <w:tc>
          <w:tcPr>
            <w:tcW w:w="1799" w:type="dxa"/>
            <w:tcBorders>
              <w:top w:val="nil"/>
              <w:bottom w:val="nil"/>
            </w:tcBorders>
          </w:tcPr>
          <w:p w:rsidR="00CE58F0" w:rsidRPr="002648EB" w:rsidRDefault="00CE58F0" w:rsidP="00413B8D">
            <w:pPr>
              <w:jc w:val="right"/>
              <w:rPr>
                <w:b/>
              </w:rPr>
            </w:pPr>
            <w:r>
              <w:rPr>
                <w:b/>
              </w:rPr>
              <w:t xml:space="preserve">+100BPS  </w:t>
            </w:r>
          </w:p>
        </w:tc>
        <w:tc>
          <w:tcPr>
            <w:tcW w:w="1836" w:type="dxa"/>
            <w:tcBorders>
              <w:top w:val="nil"/>
              <w:bottom w:val="nil"/>
            </w:tcBorders>
          </w:tcPr>
          <w:p w:rsidR="00CE58F0" w:rsidRPr="00432510" w:rsidRDefault="00CE58F0" w:rsidP="00413B8D">
            <w:pPr>
              <w:jc w:val="right"/>
              <w:rPr>
                <w:b/>
              </w:rPr>
            </w:pPr>
            <w:r w:rsidRPr="00432510">
              <w:rPr>
                <w:b/>
              </w:rPr>
              <w:t xml:space="preserve">-100BPS </w:t>
            </w:r>
          </w:p>
        </w:tc>
      </w:tr>
      <w:tr w:rsidR="00CE58F0" w:rsidTr="00413B8D">
        <w:tc>
          <w:tcPr>
            <w:tcW w:w="3924" w:type="dxa"/>
            <w:tcBorders>
              <w:top w:val="nil"/>
              <w:bottom w:val="nil"/>
            </w:tcBorders>
          </w:tcPr>
          <w:p w:rsidR="00CE58F0" w:rsidRPr="002648EB" w:rsidRDefault="00CE58F0" w:rsidP="00413B8D">
            <w:pPr>
              <w:rPr>
                <w:b/>
              </w:rPr>
            </w:pPr>
          </w:p>
        </w:tc>
        <w:tc>
          <w:tcPr>
            <w:tcW w:w="2737" w:type="dxa"/>
            <w:tcBorders>
              <w:top w:val="nil"/>
              <w:bottom w:val="nil"/>
            </w:tcBorders>
          </w:tcPr>
          <w:p w:rsidR="00CE58F0" w:rsidRPr="002648EB" w:rsidRDefault="00CE58F0" w:rsidP="00413B8D">
            <w:pPr>
              <w:jc w:val="right"/>
              <w:rPr>
                <w:b/>
              </w:rPr>
            </w:pPr>
            <w:r w:rsidRPr="002648EB">
              <w:rPr>
                <w:b/>
              </w:rPr>
              <w:t>£</w:t>
            </w:r>
            <w:r>
              <w:rPr>
                <w:b/>
              </w:rPr>
              <w:t>m</w:t>
            </w:r>
          </w:p>
        </w:tc>
        <w:tc>
          <w:tcPr>
            <w:tcW w:w="1799" w:type="dxa"/>
            <w:tcBorders>
              <w:top w:val="nil"/>
              <w:bottom w:val="nil"/>
            </w:tcBorders>
          </w:tcPr>
          <w:p w:rsidR="00CE58F0" w:rsidRPr="002648EB" w:rsidRDefault="00CE58F0" w:rsidP="00413B8D">
            <w:pPr>
              <w:jc w:val="right"/>
              <w:rPr>
                <w:b/>
              </w:rPr>
            </w:pPr>
            <w:r w:rsidRPr="002648EB">
              <w:rPr>
                <w:b/>
              </w:rPr>
              <w:t>£</w:t>
            </w:r>
            <w:r>
              <w:rPr>
                <w:b/>
              </w:rPr>
              <w:t>m</w:t>
            </w:r>
          </w:p>
        </w:tc>
        <w:tc>
          <w:tcPr>
            <w:tcW w:w="1836" w:type="dxa"/>
            <w:tcBorders>
              <w:top w:val="nil"/>
              <w:bottom w:val="nil"/>
            </w:tcBorders>
          </w:tcPr>
          <w:p w:rsidR="00CE58F0" w:rsidRPr="002648EB" w:rsidRDefault="00CE58F0" w:rsidP="00413B8D">
            <w:pPr>
              <w:jc w:val="right"/>
              <w:rPr>
                <w:b/>
              </w:rPr>
            </w:pPr>
            <w:r w:rsidRPr="002648EB">
              <w:rPr>
                <w:b/>
              </w:rPr>
              <w:t>£</w:t>
            </w:r>
            <w:r>
              <w:rPr>
                <w:b/>
              </w:rPr>
              <w:t>m</w:t>
            </w:r>
          </w:p>
        </w:tc>
      </w:tr>
      <w:tr w:rsidR="00CE58F0" w:rsidTr="00413B8D">
        <w:tc>
          <w:tcPr>
            <w:tcW w:w="3924" w:type="dxa"/>
            <w:tcBorders>
              <w:top w:val="nil"/>
              <w:bottom w:val="nil"/>
            </w:tcBorders>
          </w:tcPr>
          <w:p w:rsidR="00CE58F0" w:rsidRDefault="00CE58F0" w:rsidP="00413B8D">
            <w:r>
              <w:t xml:space="preserve">Cash and cash equivalents  </w:t>
            </w:r>
          </w:p>
        </w:tc>
        <w:tc>
          <w:tcPr>
            <w:tcW w:w="2737" w:type="dxa"/>
            <w:tcBorders>
              <w:top w:val="nil"/>
              <w:bottom w:val="nil"/>
            </w:tcBorders>
          </w:tcPr>
          <w:p w:rsidR="00CE58F0" w:rsidRDefault="00CE58F0" w:rsidP="00413B8D">
            <w:pPr>
              <w:jc w:val="right"/>
            </w:pPr>
            <w:r>
              <w:t>315.5</w:t>
            </w:r>
          </w:p>
        </w:tc>
        <w:tc>
          <w:tcPr>
            <w:tcW w:w="1799" w:type="dxa"/>
            <w:tcBorders>
              <w:top w:val="nil"/>
              <w:bottom w:val="nil"/>
            </w:tcBorders>
          </w:tcPr>
          <w:p w:rsidR="00CE58F0" w:rsidRDefault="00CE58F0" w:rsidP="00413B8D">
            <w:pPr>
              <w:jc w:val="right"/>
            </w:pPr>
            <w:r>
              <w:t>3.1</w:t>
            </w:r>
          </w:p>
        </w:tc>
        <w:tc>
          <w:tcPr>
            <w:tcW w:w="1836" w:type="dxa"/>
            <w:tcBorders>
              <w:top w:val="nil"/>
              <w:bottom w:val="nil"/>
            </w:tcBorders>
          </w:tcPr>
          <w:p w:rsidR="00CE58F0" w:rsidRDefault="00CE58F0" w:rsidP="00413B8D">
            <w:pPr>
              <w:jc w:val="right"/>
            </w:pPr>
            <w:r>
              <w:t>(3.1)</w:t>
            </w:r>
          </w:p>
        </w:tc>
      </w:tr>
      <w:tr w:rsidR="00CE58F0" w:rsidTr="00413B8D">
        <w:tc>
          <w:tcPr>
            <w:tcW w:w="3924" w:type="dxa"/>
            <w:tcBorders>
              <w:top w:val="nil"/>
              <w:bottom w:val="nil"/>
            </w:tcBorders>
          </w:tcPr>
          <w:p w:rsidR="00CE58F0" w:rsidRDefault="00CE58F0" w:rsidP="00413B8D">
            <w:r>
              <w:t xml:space="preserve">Fixed interest securities </w:t>
            </w:r>
          </w:p>
        </w:tc>
        <w:tc>
          <w:tcPr>
            <w:tcW w:w="2737" w:type="dxa"/>
            <w:tcBorders>
              <w:top w:val="nil"/>
              <w:bottom w:val="nil"/>
            </w:tcBorders>
          </w:tcPr>
          <w:p w:rsidR="00CE58F0" w:rsidRDefault="00CE58F0" w:rsidP="00413B8D">
            <w:pPr>
              <w:jc w:val="right"/>
            </w:pPr>
            <w:r>
              <w:t>1,250.3</w:t>
            </w:r>
          </w:p>
        </w:tc>
        <w:tc>
          <w:tcPr>
            <w:tcW w:w="1799" w:type="dxa"/>
            <w:tcBorders>
              <w:top w:val="nil"/>
              <w:bottom w:val="nil"/>
            </w:tcBorders>
          </w:tcPr>
          <w:p w:rsidR="00CE58F0" w:rsidRDefault="00CE58F0" w:rsidP="00413B8D">
            <w:pPr>
              <w:jc w:val="right"/>
            </w:pPr>
            <w:r>
              <w:t>12.5</w:t>
            </w:r>
          </w:p>
        </w:tc>
        <w:tc>
          <w:tcPr>
            <w:tcW w:w="1836" w:type="dxa"/>
            <w:tcBorders>
              <w:top w:val="nil"/>
              <w:bottom w:val="nil"/>
            </w:tcBorders>
          </w:tcPr>
          <w:p w:rsidR="00CE58F0" w:rsidRDefault="00CE58F0" w:rsidP="00413B8D">
            <w:pPr>
              <w:jc w:val="right"/>
            </w:pPr>
            <w:r>
              <w:t>(12.5)</w:t>
            </w:r>
          </w:p>
        </w:tc>
      </w:tr>
      <w:tr w:rsidR="00CE58F0" w:rsidTr="00413B8D">
        <w:tc>
          <w:tcPr>
            <w:tcW w:w="3924" w:type="dxa"/>
            <w:tcBorders>
              <w:top w:val="nil"/>
              <w:bottom w:val="nil"/>
            </w:tcBorders>
          </w:tcPr>
          <w:p w:rsidR="00CE58F0" w:rsidRPr="002648EB" w:rsidRDefault="00CE58F0" w:rsidP="00413B8D">
            <w:pPr>
              <w:rPr>
                <w:b/>
              </w:rPr>
            </w:pPr>
            <w:r>
              <w:rPr>
                <w:b/>
              </w:rPr>
              <w:t xml:space="preserve">Total change in asset available </w:t>
            </w:r>
          </w:p>
        </w:tc>
        <w:tc>
          <w:tcPr>
            <w:tcW w:w="2737" w:type="dxa"/>
            <w:tcBorders>
              <w:top w:val="nil"/>
              <w:bottom w:val="nil"/>
            </w:tcBorders>
          </w:tcPr>
          <w:p w:rsidR="00CE58F0" w:rsidRPr="002927C8" w:rsidRDefault="00CE58F0" w:rsidP="00413B8D">
            <w:pPr>
              <w:jc w:val="right"/>
              <w:rPr>
                <w:b/>
              </w:rPr>
            </w:pPr>
            <w:r>
              <w:rPr>
                <w:b/>
              </w:rPr>
              <w:t>1,565.8</w:t>
            </w:r>
          </w:p>
        </w:tc>
        <w:tc>
          <w:tcPr>
            <w:tcW w:w="1799" w:type="dxa"/>
            <w:tcBorders>
              <w:top w:val="nil"/>
              <w:bottom w:val="nil"/>
            </w:tcBorders>
          </w:tcPr>
          <w:p w:rsidR="00CE58F0" w:rsidRPr="003B7B4A" w:rsidRDefault="00CE58F0" w:rsidP="00413B8D">
            <w:pPr>
              <w:jc w:val="right"/>
              <w:rPr>
                <w:b/>
              </w:rPr>
            </w:pPr>
            <w:r>
              <w:rPr>
                <w:b/>
              </w:rPr>
              <w:t>15.6</w:t>
            </w:r>
          </w:p>
        </w:tc>
        <w:tc>
          <w:tcPr>
            <w:tcW w:w="1836" w:type="dxa"/>
            <w:tcBorders>
              <w:top w:val="nil"/>
              <w:bottom w:val="nil"/>
            </w:tcBorders>
          </w:tcPr>
          <w:p w:rsidR="00CE58F0" w:rsidRPr="003B7B4A" w:rsidRDefault="00CE58F0" w:rsidP="00413B8D">
            <w:pPr>
              <w:jc w:val="right"/>
              <w:rPr>
                <w:b/>
              </w:rPr>
            </w:pPr>
            <w:r>
              <w:rPr>
                <w:b/>
              </w:rPr>
              <w:t>(15.6)</w:t>
            </w:r>
          </w:p>
        </w:tc>
      </w:tr>
    </w:tbl>
    <w:p w:rsidR="00CE58F0" w:rsidRDefault="00CE58F0" w:rsidP="00CE58F0">
      <w:pPr>
        <w:ind w:left="720"/>
      </w:pPr>
    </w:p>
    <w:tbl>
      <w:tblPr>
        <w:tblStyle w:val="TableGrid"/>
        <w:tblW w:w="1029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4"/>
        <w:gridCol w:w="2737"/>
        <w:gridCol w:w="1799"/>
        <w:gridCol w:w="1836"/>
      </w:tblGrid>
      <w:tr w:rsidR="00CE58F0" w:rsidTr="00413B8D">
        <w:tc>
          <w:tcPr>
            <w:tcW w:w="3924" w:type="dxa"/>
          </w:tcPr>
          <w:p w:rsidR="00CE58F0" w:rsidRPr="002648EB" w:rsidRDefault="00CE58F0" w:rsidP="00413B8D">
            <w:pPr>
              <w:rPr>
                <w:b/>
              </w:rPr>
            </w:pPr>
            <w:r>
              <w:t xml:space="preserve">  </w:t>
            </w:r>
            <w:r w:rsidRPr="002648EB">
              <w:rPr>
                <w:b/>
              </w:rPr>
              <w:t xml:space="preserve">Asset Type </w:t>
            </w:r>
          </w:p>
        </w:tc>
        <w:tc>
          <w:tcPr>
            <w:tcW w:w="2737" w:type="dxa"/>
          </w:tcPr>
          <w:p w:rsidR="00CE58F0" w:rsidRPr="002648EB" w:rsidRDefault="00CE58F0" w:rsidP="00413B8D">
            <w:pPr>
              <w:jc w:val="right"/>
              <w:rPr>
                <w:b/>
              </w:rPr>
            </w:pPr>
          </w:p>
        </w:tc>
        <w:tc>
          <w:tcPr>
            <w:tcW w:w="3635" w:type="dxa"/>
            <w:gridSpan w:val="2"/>
          </w:tcPr>
          <w:p w:rsidR="00CE58F0" w:rsidRPr="002648EB" w:rsidRDefault="00CE58F0" w:rsidP="00413B8D">
            <w:pPr>
              <w:jc w:val="right"/>
              <w:rPr>
                <w:b/>
              </w:rPr>
            </w:pPr>
            <w:r>
              <w:rPr>
                <w:b/>
              </w:rPr>
              <w:t xml:space="preserve">Change in year in net assets available to pay benefits  </w:t>
            </w:r>
          </w:p>
        </w:tc>
      </w:tr>
      <w:tr w:rsidR="00CE58F0" w:rsidTr="00413B8D">
        <w:tc>
          <w:tcPr>
            <w:tcW w:w="3924" w:type="dxa"/>
          </w:tcPr>
          <w:p w:rsidR="00CE58F0" w:rsidRPr="002648EB" w:rsidRDefault="00CE58F0" w:rsidP="00413B8D">
            <w:pPr>
              <w:rPr>
                <w:b/>
              </w:rPr>
            </w:pPr>
          </w:p>
        </w:tc>
        <w:tc>
          <w:tcPr>
            <w:tcW w:w="2737" w:type="dxa"/>
          </w:tcPr>
          <w:p w:rsidR="00CE58F0" w:rsidRPr="002648EB" w:rsidRDefault="00CE58F0" w:rsidP="00413B8D">
            <w:pPr>
              <w:jc w:val="right"/>
              <w:rPr>
                <w:b/>
              </w:rPr>
            </w:pPr>
            <w:r>
              <w:rPr>
                <w:b/>
              </w:rPr>
              <w:t>31/03/13</w:t>
            </w:r>
          </w:p>
        </w:tc>
        <w:tc>
          <w:tcPr>
            <w:tcW w:w="1799" w:type="dxa"/>
          </w:tcPr>
          <w:p w:rsidR="00CE58F0" w:rsidRPr="002648EB" w:rsidRDefault="00CE58F0" w:rsidP="00413B8D">
            <w:pPr>
              <w:jc w:val="right"/>
              <w:rPr>
                <w:b/>
              </w:rPr>
            </w:pPr>
            <w:r>
              <w:rPr>
                <w:b/>
              </w:rPr>
              <w:t xml:space="preserve">+100BPS  </w:t>
            </w:r>
          </w:p>
        </w:tc>
        <w:tc>
          <w:tcPr>
            <w:tcW w:w="1836" w:type="dxa"/>
          </w:tcPr>
          <w:p w:rsidR="00CE58F0" w:rsidRPr="00432510" w:rsidRDefault="00CE58F0" w:rsidP="00413B8D">
            <w:pPr>
              <w:jc w:val="right"/>
              <w:rPr>
                <w:b/>
              </w:rPr>
            </w:pPr>
            <w:r w:rsidRPr="00432510">
              <w:rPr>
                <w:b/>
              </w:rPr>
              <w:t xml:space="preserve">-100BPS </w:t>
            </w:r>
          </w:p>
        </w:tc>
      </w:tr>
      <w:tr w:rsidR="00CE58F0" w:rsidTr="00413B8D">
        <w:tc>
          <w:tcPr>
            <w:tcW w:w="3924" w:type="dxa"/>
          </w:tcPr>
          <w:p w:rsidR="00CE58F0" w:rsidRPr="002648EB" w:rsidRDefault="00CE58F0" w:rsidP="00413B8D">
            <w:pPr>
              <w:rPr>
                <w:b/>
              </w:rPr>
            </w:pPr>
          </w:p>
        </w:tc>
        <w:tc>
          <w:tcPr>
            <w:tcW w:w="2737" w:type="dxa"/>
          </w:tcPr>
          <w:p w:rsidR="00CE58F0" w:rsidRPr="002648EB" w:rsidRDefault="00CE58F0" w:rsidP="00413B8D">
            <w:pPr>
              <w:jc w:val="right"/>
              <w:rPr>
                <w:b/>
              </w:rPr>
            </w:pPr>
            <w:r w:rsidRPr="002648EB">
              <w:rPr>
                <w:b/>
              </w:rPr>
              <w:t>£</w:t>
            </w:r>
            <w:r>
              <w:rPr>
                <w:b/>
              </w:rPr>
              <w:t>m</w:t>
            </w:r>
          </w:p>
        </w:tc>
        <w:tc>
          <w:tcPr>
            <w:tcW w:w="1799" w:type="dxa"/>
          </w:tcPr>
          <w:p w:rsidR="00CE58F0" w:rsidRPr="002648EB" w:rsidRDefault="00CE58F0" w:rsidP="00413B8D">
            <w:pPr>
              <w:jc w:val="right"/>
              <w:rPr>
                <w:b/>
              </w:rPr>
            </w:pPr>
            <w:r w:rsidRPr="002648EB">
              <w:rPr>
                <w:b/>
              </w:rPr>
              <w:t>£</w:t>
            </w:r>
            <w:r>
              <w:rPr>
                <w:b/>
              </w:rPr>
              <w:t>m</w:t>
            </w:r>
          </w:p>
        </w:tc>
        <w:tc>
          <w:tcPr>
            <w:tcW w:w="1836" w:type="dxa"/>
          </w:tcPr>
          <w:p w:rsidR="00CE58F0" w:rsidRPr="002648EB" w:rsidRDefault="00CE58F0" w:rsidP="00413B8D">
            <w:pPr>
              <w:jc w:val="right"/>
              <w:rPr>
                <w:b/>
              </w:rPr>
            </w:pPr>
            <w:r w:rsidRPr="002648EB">
              <w:rPr>
                <w:b/>
              </w:rPr>
              <w:t>£</w:t>
            </w:r>
            <w:r>
              <w:rPr>
                <w:b/>
              </w:rPr>
              <w:t>m</w:t>
            </w:r>
          </w:p>
        </w:tc>
      </w:tr>
      <w:tr w:rsidR="00CE58F0" w:rsidTr="00413B8D">
        <w:tc>
          <w:tcPr>
            <w:tcW w:w="3924" w:type="dxa"/>
          </w:tcPr>
          <w:p w:rsidR="00CE58F0" w:rsidRDefault="00CE58F0" w:rsidP="00413B8D">
            <w:r>
              <w:t>Cash and cash equivalents</w:t>
            </w:r>
          </w:p>
        </w:tc>
        <w:tc>
          <w:tcPr>
            <w:tcW w:w="2737" w:type="dxa"/>
          </w:tcPr>
          <w:p w:rsidR="00CE58F0" w:rsidRDefault="00CE58F0" w:rsidP="00413B8D">
            <w:pPr>
              <w:jc w:val="right"/>
            </w:pPr>
            <w:r>
              <w:t>170.5</w:t>
            </w:r>
          </w:p>
        </w:tc>
        <w:tc>
          <w:tcPr>
            <w:tcW w:w="1799" w:type="dxa"/>
          </w:tcPr>
          <w:p w:rsidR="00CE58F0" w:rsidRDefault="00CE58F0" w:rsidP="00413B8D">
            <w:pPr>
              <w:jc w:val="right"/>
            </w:pPr>
            <w:r>
              <w:t>1.7</w:t>
            </w:r>
          </w:p>
        </w:tc>
        <w:tc>
          <w:tcPr>
            <w:tcW w:w="1836" w:type="dxa"/>
          </w:tcPr>
          <w:p w:rsidR="00CE58F0" w:rsidRDefault="00CE58F0" w:rsidP="00413B8D">
            <w:pPr>
              <w:jc w:val="right"/>
            </w:pPr>
            <w:r>
              <w:t>(1.7)</w:t>
            </w:r>
          </w:p>
        </w:tc>
      </w:tr>
      <w:tr w:rsidR="00CE58F0" w:rsidTr="00413B8D">
        <w:tc>
          <w:tcPr>
            <w:tcW w:w="3924" w:type="dxa"/>
          </w:tcPr>
          <w:p w:rsidR="00CE58F0" w:rsidRDefault="00CE58F0" w:rsidP="00413B8D">
            <w:r>
              <w:t xml:space="preserve">Fixed interest securities </w:t>
            </w:r>
          </w:p>
        </w:tc>
        <w:tc>
          <w:tcPr>
            <w:tcW w:w="2737" w:type="dxa"/>
          </w:tcPr>
          <w:p w:rsidR="00CE58F0" w:rsidRDefault="00CE58F0" w:rsidP="00413B8D">
            <w:pPr>
              <w:jc w:val="right"/>
            </w:pPr>
            <w:r>
              <w:t>1,255.5</w:t>
            </w:r>
          </w:p>
        </w:tc>
        <w:tc>
          <w:tcPr>
            <w:tcW w:w="1799" w:type="dxa"/>
          </w:tcPr>
          <w:p w:rsidR="00CE58F0" w:rsidRDefault="00CE58F0" w:rsidP="00413B8D">
            <w:pPr>
              <w:jc w:val="right"/>
            </w:pPr>
            <w:r>
              <w:t>12.5</w:t>
            </w:r>
          </w:p>
        </w:tc>
        <w:tc>
          <w:tcPr>
            <w:tcW w:w="1836" w:type="dxa"/>
          </w:tcPr>
          <w:p w:rsidR="00CE58F0" w:rsidRDefault="00CE58F0" w:rsidP="00413B8D">
            <w:pPr>
              <w:jc w:val="right"/>
            </w:pPr>
            <w:r>
              <w:t>(12.5)</w:t>
            </w:r>
          </w:p>
        </w:tc>
      </w:tr>
      <w:tr w:rsidR="00CE58F0" w:rsidTr="00413B8D">
        <w:tc>
          <w:tcPr>
            <w:tcW w:w="3924" w:type="dxa"/>
          </w:tcPr>
          <w:p w:rsidR="00CE58F0" w:rsidRPr="002648EB" w:rsidRDefault="00CE58F0" w:rsidP="00413B8D">
            <w:pPr>
              <w:rPr>
                <w:b/>
              </w:rPr>
            </w:pPr>
            <w:r>
              <w:rPr>
                <w:b/>
              </w:rPr>
              <w:t xml:space="preserve">Total change in asset available </w:t>
            </w:r>
          </w:p>
        </w:tc>
        <w:tc>
          <w:tcPr>
            <w:tcW w:w="2737" w:type="dxa"/>
          </w:tcPr>
          <w:p w:rsidR="00CE58F0" w:rsidRPr="002927C8" w:rsidRDefault="00CE58F0" w:rsidP="00413B8D">
            <w:pPr>
              <w:jc w:val="right"/>
              <w:rPr>
                <w:b/>
              </w:rPr>
            </w:pPr>
            <w:r>
              <w:rPr>
                <w:b/>
              </w:rPr>
              <w:t>1,426.0</w:t>
            </w:r>
          </w:p>
        </w:tc>
        <w:tc>
          <w:tcPr>
            <w:tcW w:w="1799" w:type="dxa"/>
          </w:tcPr>
          <w:p w:rsidR="00CE58F0" w:rsidRPr="003B7B4A" w:rsidRDefault="00CE58F0" w:rsidP="00413B8D">
            <w:pPr>
              <w:jc w:val="right"/>
              <w:rPr>
                <w:b/>
              </w:rPr>
            </w:pPr>
            <w:r>
              <w:rPr>
                <w:b/>
              </w:rPr>
              <w:t>14.2</w:t>
            </w:r>
          </w:p>
        </w:tc>
        <w:tc>
          <w:tcPr>
            <w:tcW w:w="1836" w:type="dxa"/>
          </w:tcPr>
          <w:p w:rsidR="00CE58F0" w:rsidRPr="003B7B4A" w:rsidRDefault="00CE58F0" w:rsidP="00413B8D">
            <w:pPr>
              <w:jc w:val="right"/>
              <w:rPr>
                <w:b/>
              </w:rPr>
            </w:pPr>
            <w:r>
              <w:rPr>
                <w:b/>
              </w:rPr>
              <w:t>(14.2)</w:t>
            </w:r>
          </w:p>
        </w:tc>
      </w:tr>
      <w:tr w:rsidR="00CE58F0" w:rsidTr="00413B8D">
        <w:tc>
          <w:tcPr>
            <w:tcW w:w="3924" w:type="dxa"/>
          </w:tcPr>
          <w:p w:rsidR="00CE58F0" w:rsidRDefault="00CE58F0" w:rsidP="00413B8D">
            <w:pPr>
              <w:rPr>
                <w:b/>
              </w:rPr>
            </w:pPr>
          </w:p>
        </w:tc>
        <w:tc>
          <w:tcPr>
            <w:tcW w:w="2737" w:type="dxa"/>
          </w:tcPr>
          <w:p w:rsidR="00CE58F0" w:rsidRDefault="00CE58F0" w:rsidP="00413B8D">
            <w:pPr>
              <w:jc w:val="right"/>
              <w:rPr>
                <w:b/>
              </w:rPr>
            </w:pPr>
          </w:p>
        </w:tc>
        <w:tc>
          <w:tcPr>
            <w:tcW w:w="1799" w:type="dxa"/>
          </w:tcPr>
          <w:p w:rsidR="00CE58F0" w:rsidRDefault="00CE58F0" w:rsidP="00413B8D">
            <w:pPr>
              <w:jc w:val="right"/>
              <w:rPr>
                <w:b/>
              </w:rPr>
            </w:pPr>
          </w:p>
        </w:tc>
        <w:tc>
          <w:tcPr>
            <w:tcW w:w="1836" w:type="dxa"/>
          </w:tcPr>
          <w:p w:rsidR="00CE58F0" w:rsidRDefault="00CE58F0" w:rsidP="00413B8D">
            <w:pPr>
              <w:jc w:val="right"/>
              <w:rPr>
                <w:b/>
              </w:rPr>
            </w:pPr>
          </w:p>
        </w:tc>
      </w:tr>
    </w:tbl>
    <w:p w:rsidR="00CE58F0" w:rsidRDefault="00CE58F0" w:rsidP="00CE58F0">
      <w:pPr>
        <w:ind w:left="720"/>
      </w:pPr>
    </w:p>
    <w:p w:rsidR="00BE7D70" w:rsidRDefault="00BE7D70" w:rsidP="00CE58F0">
      <w:pPr>
        <w:ind w:left="720"/>
      </w:pPr>
    </w:p>
    <w:p w:rsidR="00BE7D70" w:rsidRDefault="00BE7D70" w:rsidP="00CE58F0">
      <w:pPr>
        <w:ind w:left="720"/>
      </w:pPr>
    </w:p>
    <w:p w:rsidR="00BE7D70" w:rsidRDefault="00BE7D70" w:rsidP="00CE58F0">
      <w:pPr>
        <w:ind w:left="720"/>
      </w:pPr>
    </w:p>
    <w:p w:rsidR="00CE58F0" w:rsidRDefault="00CE58F0" w:rsidP="00CE58F0">
      <w:pPr>
        <w:ind w:left="720"/>
        <w:rPr>
          <w:b/>
        </w:rPr>
      </w:pPr>
    </w:p>
    <w:p w:rsidR="00CE58F0" w:rsidRPr="00432510" w:rsidRDefault="00CE58F0" w:rsidP="00CE58F0">
      <w:pPr>
        <w:ind w:left="720"/>
        <w:rPr>
          <w:b/>
        </w:rPr>
      </w:pPr>
      <w:r w:rsidRPr="00432510">
        <w:rPr>
          <w:b/>
        </w:rPr>
        <w:t>Currency risk</w:t>
      </w:r>
    </w:p>
    <w:p w:rsidR="00CE58F0" w:rsidRDefault="00CE58F0" w:rsidP="00CE58F0">
      <w:pPr>
        <w:ind w:left="720"/>
      </w:pPr>
    </w:p>
    <w:p w:rsidR="00CE58F0" w:rsidRDefault="00CE58F0" w:rsidP="00CE58F0">
      <w:pPr>
        <w:ind w:left="720"/>
      </w:pPr>
      <w:r>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E87CD5" w:rsidRDefault="00E87CD5" w:rsidP="00CE58F0">
      <w:pPr>
        <w:ind w:left="720"/>
      </w:pPr>
    </w:p>
    <w:p w:rsidR="00CE58F0" w:rsidRDefault="00CE58F0" w:rsidP="00CE58F0">
      <w:pPr>
        <w:ind w:left="720"/>
      </w:pPr>
      <w:r>
        <w:t xml:space="preserve">The Fund's currency rate risk is routinely monitored by the Fund and its investment advisors in accordance with the Fund's risk management strategy. </w:t>
      </w:r>
    </w:p>
    <w:p w:rsidR="00CE58F0" w:rsidRDefault="00CE58F0" w:rsidP="00CE58F0">
      <w:pPr>
        <w:ind w:left="720"/>
      </w:pPr>
    </w:p>
    <w:p w:rsidR="00CE58F0" w:rsidRDefault="00CE58F0" w:rsidP="00CE58F0">
      <w:pPr>
        <w:ind w:left="720"/>
      </w:pPr>
      <w:r>
        <w:lastRenderedPageBreak/>
        <w:t xml:space="preserve">The following table summarises the Fund's currency exposure as at 31 March 2014 and as at the previous year end:    </w:t>
      </w:r>
    </w:p>
    <w:p w:rsidR="00CE58F0" w:rsidRDefault="00CE58F0" w:rsidP="00CE58F0">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163"/>
        <w:gridCol w:w="2557"/>
      </w:tblGrid>
      <w:tr w:rsidR="00CE58F0" w:rsidTr="00413B8D">
        <w:tc>
          <w:tcPr>
            <w:tcW w:w="5058" w:type="dxa"/>
          </w:tcPr>
          <w:p w:rsidR="00CE58F0" w:rsidRPr="00DD0EE9" w:rsidRDefault="00CE58F0" w:rsidP="00413B8D">
            <w:pPr>
              <w:rPr>
                <w:b/>
              </w:rPr>
            </w:pPr>
            <w:r w:rsidRPr="00DD0EE9">
              <w:rPr>
                <w:b/>
              </w:rPr>
              <w:t xml:space="preserve">Currency exposure – asset type </w:t>
            </w:r>
          </w:p>
        </w:tc>
        <w:tc>
          <w:tcPr>
            <w:tcW w:w="2227" w:type="dxa"/>
          </w:tcPr>
          <w:p w:rsidR="00CE58F0" w:rsidRDefault="00CE58F0" w:rsidP="00413B8D">
            <w:pPr>
              <w:ind w:left="-680"/>
              <w:jc w:val="right"/>
              <w:rPr>
                <w:b/>
              </w:rPr>
            </w:pPr>
          </w:p>
          <w:p w:rsidR="00CE58F0" w:rsidRPr="00DD0EE9" w:rsidRDefault="00CE58F0" w:rsidP="00413B8D">
            <w:pPr>
              <w:ind w:left="-680"/>
              <w:jc w:val="right"/>
              <w:rPr>
                <w:b/>
              </w:rPr>
            </w:pPr>
            <w:r>
              <w:rPr>
                <w:b/>
              </w:rPr>
              <w:t>31/03/</w:t>
            </w:r>
            <w:r w:rsidRPr="00DD0EE9">
              <w:rPr>
                <w:b/>
              </w:rPr>
              <w:t>1</w:t>
            </w:r>
            <w:r>
              <w:rPr>
                <w:b/>
              </w:rPr>
              <w:t>4</w:t>
            </w:r>
          </w:p>
        </w:tc>
        <w:tc>
          <w:tcPr>
            <w:tcW w:w="2593" w:type="dxa"/>
          </w:tcPr>
          <w:p w:rsidR="00CE58F0" w:rsidRDefault="00CE58F0" w:rsidP="00413B8D">
            <w:pPr>
              <w:jc w:val="right"/>
              <w:rPr>
                <w:b/>
              </w:rPr>
            </w:pPr>
          </w:p>
          <w:p w:rsidR="00CE58F0" w:rsidRPr="00DD0EE9" w:rsidRDefault="00CE58F0" w:rsidP="00413B8D">
            <w:pPr>
              <w:jc w:val="right"/>
              <w:rPr>
                <w:b/>
              </w:rPr>
            </w:pPr>
            <w:r>
              <w:rPr>
                <w:b/>
              </w:rPr>
              <w:t xml:space="preserve">   31/03/13*</w:t>
            </w:r>
          </w:p>
        </w:tc>
      </w:tr>
      <w:tr w:rsidR="00CE58F0" w:rsidTr="00413B8D">
        <w:tc>
          <w:tcPr>
            <w:tcW w:w="5058" w:type="dxa"/>
          </w:tcPr>
          <w:p w:rsidR="00CE58F0" w:rsidRDefault="00CE58F0" w:rsidP="00413B8D"/>
        </w:tc>
        <w:tc>
          <w:tcPr>
            <w:tcW w:w="2227" w:type="dxa"/>
          </w:tcPr>
          <w:p w:rsidR="00CE58F0" w:rsidRPr="00DD0EE9" w:rsidRDefault="00CE58F0" w:rsidP="00413B8D">
            <w:pPr>
              <w:ind w:left="-680"/>
              <w:jc w:val="right"/>
              <w:rPr>
                <w:b/>
              </w:rPr>
            </w:pPr>
            <w:r>
              <w:rPr>
                <w:b/>
              </w:rPr>
              <w:t>£m</w:t>
            </w:r>
          </w:p>
        </w:tc>
        <w:tc>
          <w:tcPr>
            <w:tcW w:w="2593" w:type="dxa"/>
          </w:tcPr>
          <w:p w:rsidR="00CE58F0" w:rsidRPr="00DD0EE9" w:rsidRDefault="00CE58F0" w:rsidP="00413B8D">
            <w:pPr>
              <w:ind w:left="1038"/>
              <w:jc w:val="right"/>
              <w:rPr>
                <w:b/>
              </w:rPr>
            </w:pPr>
            <w:r>
              <w:rPr>
                <w:b/>
              </w:rPr>
              <w:t>£m</w:t>
            </w:r>
          </w:p>
        </w:tc>
      </w:tr>
      <w:tr w:rsidR="00CE58F0" w:rsidTr="00413B8D">
        <w:tc>
          <w:tcPr>
            <w:tcW w:w="5058" w:type="dxa"/>
          </w:tcPr>
          <w:p w:rsidR="00CE58F0" w:rsidRDefault="00CE58F0" w:rsidP="00413B8D">
            <w:r>
              <w:t>Overseas  quoted securities</w:t>
            </w:r>
          </w:p>
        </w:tc>
        <w:tc>
          <w:tcPr>
            <w:tcW w:w="2227" w:type="dxa"/>
          </w:tcPr>
          <w:p w:rsidR="00CE58F0" w:rsidRDefault="00CE58F0" w:rsidP="00413B8D">
            <w:pPr>
              <w:ind w:left="-680"/>
              <w:jc w:val="right"/>
            </w:pPr>
            <w:r>
              <w:t>1,689.8</w:t>
            </w:r>
          </w:p>
        </w:tc>
        <w:tc>
          <w:tcPr>
            <w:tcW w:w="2593" w:type="dxa"/>
          </w:tcPr>
          <w:p w:rsidR="00CE58F0" w:rsidRDefault="00CE58F0" w:rsidP="00413B8D">
            <w:pPr>
              <w:jc w:val="right"/>
            </w:pPr>
            <w:r>
              <w:t>1,531.0</w:t>
            </w:r>
          </w:p>
        </w:tc>
      </w:tr>
      <w:tr w:rsidR="00CE58F0" w:rsidTr="00413B8D">
        <w:tc>
          <w:tcPr>
            <w:tcW w:w="5058" w:type="dxa"/>
          </w:tcPr>
          <w:p w:rsidR="00CE58F0" w:rsidRDefault="00CE58F0" w:rsidP="00413B8D">
            <w:r>
              <w:t>Overseas corporate bonds (quoted)</w:t>
            </w:r>
          </w:p>
        </w:tc>
        <w:tc>
          <w:tcPr>
            <w:tcW w:w="2227" w:type="dxa"/>
          </w:tcPr>
          <w:p w:rsidR="00CE58F0" w:rsidRDefault="00CE58F0" w:rsidP="00413B8D">
            <w:pPr>
              <w:ind w:left="-680"/>
              <w:jc w:val="right"/>
            </w:pPr>
            <w:r>
              <w:t>157.0</w:t>
            </w:r>
          </w:p>
        </w:tc>
        <w:tc>
          <w:tcPr>
            <w:tcW w:w="2593" w:type="dxa"/>
          </w:tcPr>
          <w:p w:rsidR="00CE58F0" w:rsidRDefault="00CE58F0" w:rsidP="00413B8D">
            <w:pPr>
              <w:jc w:val="right"/>
            </w:pPr>
            <w:r>
              <w:t>323.7</w:t>
            </w:r>
          </w:p>
        </w:tc>
      </w:tr>
      <w:tr w:rsidR="00CE58F0" w:rsidTr="00413B8D">
        <w:tc>
          <w:tcPr>
            <w:tcW w:w="5058" w:type="dxa"/>
          </w:tcPr>
          <w:p w:rsidR="00CE58F0" w:rsidRDefault="00CE58F0" w:rsidP="00413B8D">
            <w:r>
              <w:t>Overseas  fixed income</w:t>
            </w:r>
          </w:p>
        </w:tc>
        <w:tc>
          <w:tcPr>
            <w:tcW w:w="2227" w:type="dxa"/>
          </w:tcPr>
          <w:p w:rsidR="00CE58F0" w:rsidRDefault="00CE58F0" w:rsidP="00413B8D">
            <w:pPr>
              <w:ind w:left="-680"/>
              <w:jc w:val="right"/>
            </w:pPr>
            <w:r>
              <w:t>970.3</w:t>
            </w:r>
          </w:p>
        </w:tc>
        <w:tc>
          <w:tcPr>
            <w:tcW w:w="2593" w:type="dxa"/>
          </w:tcPr>
          <w:p w:rsidR="00CE58F0" w:rsidRDefault="00CE58F0" w:rsidP="00413B8D">
            <w:pPr>
              <w:jc w:val="right"/>
            </w:pPr>
            <w:r>
              <w:t>*412.0</w:t>
            </w:r>
          </w:p>
        </w:tc>
      </w:tr>
      <w:tr w:rsidR="00CE58F0" w:rsidTr="00413B8D">
        <w:tc>
          <w:tcPr>
            <w:tcW w:w="5058" w:type="dxa"/>
          </w:tcPr>
          <w:p w:rsidR="00CE58F0" w:rsidRDefault="00CE58F0" w:rsidP="00413B8D">
            <w:r>
              <w:t>Overseas pooled investments</w:t>
            </w:r>
          </w:p>
        </w:tc>
        <w:tc>
          <w:tcPr>
            <w:tcW w:w="2227" w:type="dxa"/>
          </w:tcPr>
          <w:p w:rsidR="00CE58F0" w:rsidRDefault="00CE58F0" w:rsidP="00413B8D">
            <w:pPr>
              <w:ind w:left="-680"/>
              <w:jc w:val="right"/>
            </w:pPr>
            <w:r>
              <w:t>956.8</w:t>
            </w:r>
          </w:p>
        </w:tc>
        <w:tc>
          <w:tcPr>
            <w:tcW w:w="2593" w:type="dxa"/>
          </w:tcPr>
          <w:p w:rsidR="00CE58F0" w:rsidRDefault="00CE58F0" w:rsidP="00413B8D">
            <w:pPr>
              <w:jc w:val="right"/>
            </w:pPr>
            <w:r>
              <w:t>*804.4</w:t>
            </w:r>
          </w:p>
        </w:tc>
      </w:tr>
      <w:tr w:rsidR="00CE58F0" w:rsidTr="00413B8D">
        <w:tc>
          <w:tcPr>
            <w:tcW w:w="5058" w:type="dxa"/>
          </w:tcPr>
          <w:p w:rsidR="00CE58F0" w:rsidRPr="00DD0EE9" w:rsidRDefault="00CE58F0" w:rsidP="00413B8D">
            <w:pPr>
              <w:rPr>
                <w:b/>
              </w:rPr>
            </w:pPr>
            <w:r>
              <w:rPr>
                <w:b/>
              </w:rPr>
              <w:t xml:space="preserve">Total overseas assets </w:t>
            </w:r>
          </w:p>
        </w:tc>
        <w:tc>
          <w:tcPr>
            <w:tcW w:w="2227" w:type="dxa"/>
          </w:tcPr>
          <w:p w:rsidR="00CE58F0" w:rsidRPr="003818B9" w:rsidRDefault="00CE58F0" w:rsidP="00413B8D">
            <w:pPr>
              <w:ind w:left="-680"/>
              <w:jc w:val="right"/>
              <w:rPr>
                <w:b/>
              </w:rPr>
            </w:pPr>
            <w:r>
              <w:rPr>
                <w:b/>
              </w:rPr>
              <w:t>3,773.9</w:t>
            </w:r>
          </w:p>
        </w:tc>
        <w:tc>
          <w:tcPr>
            <w:tcW w:w="2593" w:type="dxa"/>
          </w:tcPr>
          <w:p w:rsidR="00CE58F0" w:rsidRPr="003818B9" w:rsidRDefault="00CE58F0" w:rsidP="00413B8D">
            <w:pPr>
              <w:jc w:val="right"/>
              <w:rPr>
                <w:b/>
              </w:rPr>
            </w:pPr>
            <w:r>
              <w:rPr>
                <w:b/>
              </w:rPr>
              <w:t>3,071.1</w:t>
            </w:r>
          </w:p>
        </w:tc>
      </w:tr>
      <w:tr w:rsidR="00CE58F0" w:rsidTr="00413B8D">
        <w:tc>
          <w:tcPr>
            <w:tcW w:w="5058" w:type="dxa"/>
          </w:tcPr>
          <w:p w:rsidR="00CE58F0" w:rsidRDefault="00CE58F0" w:rsidP="00413B8D">
            <w:pPr>
              <w:rPr>
                <w:b/>
              </w:rPr>
            </w:pPr>
          </w:p>
        </w:tc>
        <w:tc>
          <w:tcPr>
            <w:tcW w:w="2227" w:type="dxa"/>
          </w:tcPr>
          <w:p w:rsidR="00CE58F0" w:rsidRDefault="00CE58F0" w:rsidP="00413B8D">
            <w:pPr>
              <w:ind w:left="-680"/>
              <w:jc w:val="right"/>
              <w:rPr>
                <w:b/>
              </w:rPr>
            </w:pPr>
          </w:p>
        </w:tc>
        <w:tc>
          <w:tcPr>
            <w:tcW w:w="2593" w:type="dxa"/>
          </w:tcPr>
          <w:p w:rsidR="00CE58F0" w:rsidRDefault="00CE58F0" w:rsidP="00413B8D">
            <w:pPr>
              <w:jc w:val="right"/>
              <w:rPr>
                <w:b/>
              </w:rPr>
            </w:pPr>
          </w:p>
        </w:tc>
      </w:tr>
    </w:tbl>
    <w:p w:rsidR="00CE58F0" w:rsidRDefault="00CE58F0" w:rsidP="00CE58F0">
      <w:pPr>
        <w:ind w:left="720"/>
        <w:rPr>
          <w:b/>
        </w:rPr>
      </w:pPr>
      <w:r>
        <w:rPr>
          <w:b/>
        </w:rPr>
        <w:t>*</w:t>
      </w:r>
      <w:r>
        <w:t>Classification by asset type has been reviewed at an individual asset level at 31</w:t>
      </w:r>
      <w:r w:rsidRPr="005D4A7B">
        <w:rPr>
          <w:vertAlign w:val="superscript"/>
        </w:rPr>
        <w:t>st</w:t>
      </w:r>
      <w:r>
        <w:t xml:space="preserve"> March 2014.  For 2012/13 reporting the asset type was determined by review at an investment manager level.  Comparatives have been restated accordingly.</w:t>
      </w:r>
    </w:p>
    <w:p w:rsidR="00E87CD5" w:rsidRDefault="00E87CD5" w:rsidP="00CE58F0">
      <w:pPr>
        <w:ind w:left="720"/>
        <w:rPr>
          <w:b/>
        </w:rPr>
      </w:pPr>
    </w:p>
    <w:p w:rsidR="00CE58F0" w:rsidRPr="00DD0EE9" w:rsidRDefault="00CE58F0" w:rsidP="00CE58F0">
      <w:pPr>
        <w:ind w:left="720"/>
        <w:rPr>
          <w:b/>
        </w:rPr>
      </w:pPr>
      <w:r w:rsidRPr="00B12F4C">
        <w:rPr>
          <w:b/>
        </w:rPr>
        <w:t>Currency risk – sensitivities analysis</w:t>
      </w:r>
      <w:r w:rsidRPr="00DD0EE9">
        <w:rPr>
          <w:b/>
        </w:rPr>
        <w:t xml:space="preserve"> </w:t>
      </w:r>
    </w:p>
    <w:p w:rsidR="00CE58F0" w:rsidRDefault="00CE58F0" w:rsidP="00CE58F0">
      <w:pPr>
        <w:ind w:left="720"/>
      </w:pPr>
    </w:p>
    <w:p w:rsidR="00CE58F0" w:rsidRDefault="00CE58F0" w:rsidP="00CE58F0">
      <w:pPr>
        <w:ind w:left="720"/>
      </w:pPr>
      <w:r>
        <w:t xml:space="preserve">Following analysis of historical data in consultation with the Fund's investment advisors, the Fund considers the likely volatility associated with foreign exchange rate movement to be </w:t>
      </w:r>
      <w:r w:rsidRPr="000C15C5">
        <w:t>6</w:t>
      </w:r>
      <w:r>
        <w:t xml:space="preserve">% (as measured by one standard deviation). </w:t>
      </w:r>
    </w:p>
    <w:p w:rsidR="00CE58F0" w:rsidRDefault="00CE58F0" w:rsidP="00CE58F0">
      <w:pPr>
        <w:ind w:left="720"/>
      </w:pPr>
    </w:p>
    <w:p w:rsidR="00CE58F0" w:rsidRDefault="00CE58F0" w:rsidP="00CE58F0">
      <w:pPr>
        <w:ind w:left="720"/>
      </w:pPr>
      <w:r>
        <w:t xml:space="preserve">A </w:t>
      </w:r>
      <w:r w:rsidRPr="000C15C5">
        <w:t>6</w:t>
      </w:r>
      <w:r>
        <w:t xml:space="preserve">% fluctuation in the currency is considered reasonable based on the Fund advisor's analysis of long-term historical movements in the month-end exchange rates over a rolling 36-month period. </w:t>
      </w:r>
    </w:p>
    <w:p w:rsidR="00CE58F0" w:rsidRDefault="00CE58F0" w:rsidP="00CE58F0">
      <w:pPr>
        <w:ind w:left="720"/>
      </w:pPr>
    </w:p>
    <w:p w:rsidR="00CE58F0" w:rsidRDefault="00CE58F0" w:rsidP="00CE58F0">
      <w:pPr>
        <w:ind w:left="720"/>
      </w:pPr>
      <w:r>
        <w:t xml:space="preserve">This analysis assumes that all other variables, in particular interest rates, remain constant.  </w:t>
      </w:r>
    </w:p>
    <w:p w:rsidR="00CE58F0" w:rsidRDefault="00CE58F0" w:rsidP="00CE58F0">
      <w:pPr>
        <w:ind w:left="720"/>
      </w:pPr>
    </w:p>
    <w:p w:rsidR="00CE58F0" w:rsidRDefault="00CE58F0" w:rsidP="00CE58F0">
      <w:pPr>
        <w:ind w:left="720"/>
      </w:pPr>
      <w:r>
        <w:t xml:space="preserve"> A </w:t>
      </w:r>
      <w:r w:rsidRPr="000C15C5">
        <w:t>6</w:t>
      </w:r>
      <w:r>
        <w:t>% strengthening/weakening of the pound against the various currencies in which the Fund holds investments would increase/decrease the net assets available to pay benefits as follows:</w:t>
      </w:r>
    </w:p>
    <w:p w:rsidR="00CE58F0" w:rsidRDefault="00CE58F0" w:rsidP="00CE58F0">
      <w:pPr>
        <w:ind w:left="720"/>
      </w:pPr>
      <w:r>
        <w:t xml:space="preserve">  </w:t>
      </w:r>
    </w:p>
    <w:tbl>
      <w:tblPr>
        <w:tblStyle w:val="TableGrid"/>
        <w:tblW w:w="1063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68"/>
        <w:gridCol w:w="2132"/>
        <w:gridCol w:w="68"/>
        <w:gridCol w:w="1916"/>
        <w:gridCol w:w="68"/>
        <w:gridCol w:w="1917"/>
        <w:gridCol w:w="68"/>
      </w:tblGrid>
      <w:tr w:rsidR="00CE58F0" w:rsidTr="00BE7D70">
        <w:trPr>
          <w:gridAfter w:val="1"/>
          <w:wAfter w:w="68" w:type="dxa"/>
        </w:trPr>
        <w:tc>
          <w:tcPr>
            <w:tcW w:w="4394" w:type="dxa"/>
          </w:tcPr>
          <w:p w:rsidR="00CE58F0" w:rsidRPr="00DD0EE9" w:rsidRDefault="00CE58F0" w:rsidP="00413B8D">
            <w:pPr>
              <w:rPr>
                <w:b/>
              </w:rPr>
            </w:pPr>
            <w:r w:rsidRPr="00DD0EE9">
              <w:rPr>
                <w:b/>
              </w:rPr>
              <w:t xml:space="preserve">Currency exposure – asset type </w:t>
            </w:r>
          </w:p>
        </w:tc>
        <w:tc>
          <w:tcPr>
            <w:tcW w:w="2200" w:type="dxa"/>
            <w:gridSpan w:val="2"/>
          </w:tcPr>
          <w:p w:rsidR="00CE58F0" w:rsidRDefault="00CE58F0" w:rsidP="00413B8D">
            <w:pPr>
              <w:jc w:val="right"/>
              <w:rPr>
                <w:b/>
              </w:rPr>
            </w:pPr>
          </w:p>
          <w:p w:rsidR="00CE58F0" w:rsidRPr="00DD0EE9" w:rsidRDefault="00CE58F0" w:rsidP="00413B8D">
            <w:pPr>
              <w:jc w:val="right"/>
              <w:rPr>
                <w:b/>
              </w:rPr>
            </w:pPr>
          </w:p>
        </w:tc>
        <w:tc>
          <w:tcPr>
            <w:tcW w:w="3969" w:type="dxa"/>
            <w:gridSpan w:val="4"/>
          </w:tcPr>
          <w:p w:rsidR="00CE58F0" w:rsidRPr="00DD0EE9" w:rsidRDefault="00CE58F0" w:rsidP="00413B8D">
            <w:pPr>
              <w:jc w:val="right"/>
              <w:rPr>
                <w:b/>
              </w:rPr>
            </w:pPr>
            <w:r>
              <w:rPr>
                <w:b/>
              </w:rPr>
              <w:t xml:space="preserve">Change to net assets available to pay benefits </w:t>
            </w:r>
          </w:p>
        </w:tc>
      </w:tr>
      <w:tr w:rsidR="00CE58F0" w:rsidTr="00BE7D70">
        <w:trPr>
          <w:gridAfter w:val="1"/>
          <w:wAfter w:w="68" w:type="dxa"/>
        </w:trPr>
        <w:tc>
          <w:tcPr>
            <w:tcW w:w="4394" w:type="dxa"/>
          </w:tcPr>
          <w:p w:rsidR="00CE58F0" w:rsidRDefault="00CE58F0" w:rsidP="00413B8D"/>
        </w:tc>
        <w:tc>
          <w:tcPr>
            <w:tcW w:w="2200" w:type="dxa"/>
            <w:gridSpan w:val="2"/>
          </w:tcPr>
          <w:p w:rsidR="00CE58F0" w:rsidRPr="00DD0EE9" w:rsidRDefault="00CE58F0" w:rsidP="00413B8D">
            <w:pPr>
              <w:jc w:val="right"/>
              <w:rPr>
                <w:b/>
              </w:rPr>
            </w:pPr>
            <w:r>
              <w:rPr>
                <w:b/>
              </w:rPr>
              <w:t>31/03/14</w:t>
            </w:r>
          </w:p>
        </w:tc>
        <w:tc>
          <w:tcPr>
            <w:tcW w:w="1984" w:type="dxa"/>
            <w:gridSpan w:val="2"/>
          </w:tcPr>
          <w:p w:rsidR="00CE58F0" w:rsidRPr="000F2D5C" w:rsidRDefault="00CE58F0" w:rsidP="00413B8D">
            <w:pPr>
              <w:ind w:left="1038"/>
              <w:jc w:val="right"/>
              <w:rPr>
                <w:b/>
              </w:rPr>
            </w:pPr>
            <w:r w:rsidRPr="000C15C5">
              <w:rPr>
                <w:b/>
              </w:rPr>
              <w:t>+6</w:t>
            </w:r>
            <w:r w:rsidRPr="000F2D5C">
              <w:rPr>
                <w:b/>
              </w:rPr>
              <w:t>.0</w:t>
            </w:r>
            <w:r w:rsidRPr="000C15C5">
              <w:rPr>
                <w:b/>
              </w:rPr>
              <w:t>%</w:t>
            </w:r>
          </w:p>
        </w:tc>
        <w:tc>
          <w:tcPr>
            <w:tcW w:w="1985" w:type="dxa"/>
            <w:gridSpan w:val="2"/>
          </w:tcPr>
          <w:p w:rsidR="00CE58F0" w:rsidRPr="000F2D5C" w:rsidRDefault="00CE58F0" w:rsidP="00413B8D">
            <w:pPr>
              <w:jc w:val="right"/>
              <w:rPr>
                <w:b/>
              </w:rPr>
            </w:pPr>
            <w:r w:rsidRPr="000C15C5">
              <w:rPr>
                <w:b/>
              </w:rPr>
              <w:t>-6</w:t>
            </w:r>
            <w:r w:rsidRPr="000F2D5C">
              <w:rPr>
                <w:b/>
              </w:rPr>
              <w:t>.0</w:t>
            </w:r>
            <w:r w:rsidRPr="000C15C5">
              <w:rPr>
                <w:b/>
              </w:rPr>
              <w:t>%</w:t>
            </w:r>
          </w:p>
        </w:tc>
      </w:tr>
      <w:tr w:rsidR="00CE58F0" w:rsidTr="00BE7D70">
        <w:trPr>
          <w:gridAfter w:val="1"/>
          <w:wAfter w:w="68" w:type="dxa"/>
        </w:trPr>
        <w:tc>
          <w:tcPr>
            <w:tcW w:w="4394" w:type="dxa"/>
          </w:tcPr>
          <w:p w:rsidR="00CE58F0" w:rsidRDefault="00CE58F0" w:rsidP="00413B8D"/>
        </w:tc>
        <w:tc>
          <w:tcPr>
            <w:tcW w:w="2200" w:type="dxa"/>
            <w:gridSpan w:val="2"/>
          </w:tcPr>
          <w:p w:rsidR="00CE58F0" w:rsidRPr="00DD0EE9" w:rsidRDefault="00CE58F0" w:rsidP="00413B8D">
            <w:pPr>
              <w:jc w:val="right"/>
              <w:rPr>
                <w:b/>
              </w:rPr>
            </w:pPr>
            <w:r>
              <w:rPr>
                <w:b/>
              </w:rPr>
              <w:t>£m</w:t>
            </w:r>
          </w:p>
        </w:tc>
        <w:tc>
          <w:tcPr>
            <w:tcW w:w="1984" w:type="dxa"/>
            <w:gridSpan w:val="2"/>
          </w:tcPr>
          <w:p w:rsidR="00CE58F0" w:rsidRPr="00DD0EE9" w:rsidRDefault="00CE58F0" w:rsidP="00413B8D">
            <w:pPr>
              <w:tabs>
                <w:tab w:val="left" w:pos="175"/>
              </w:tabs>
              <w:ind w:left="1038"/>
              <w:jc w:val="right"/>
              <w:rPr>
                <w:b/>
              </w:rPr>
            </w:pPr>
            <w:r>
              <w:rPr>
                <w:b/>
              </w:rPr>
              <w:t>£m</w:t>
            </w:r>
          </w:p>
        </w:tc>
        <w:tc>
          <w:tcPr>
            <w:tcW w:w="1985" w:type="dxa"/>
            <w:gridSpan w:val="2"/>
          </w:tcPr>
          <w:p w:rsidR="00CE58F0" w:rsidRPr="00DD0EE9" w:rsidRDefault="00CE58F0" w:rsidP="00413B8D">
            <w:pPr>
              <w:ind w:left="1038"/>
              <w:jc w:val="right"/>
              <w:rPr>
                <w:b/>
              </w:rPr>
            </w:pPr>
            <w:r>
              <w:rPr>
                <w:b/>
              </w:rPr>
              <w:t>£m</w:t>
            </w:r>
          </w:p>
        </w:tc>
      </w:tr>
      <w:tr w:rsidR="00CE58F0" w:rsidTr="00BE7D70">
        <w:trPr>
          <w:gridAfter w:val="1"/>
          <w:wAfter w:w="68" w:type="dxa"/>
        </w:trPr>
        <w:tc>
          <w:tcPr>
            <w:tcW w:w="4394" w:type="dxa"/>
          </w:tcPr>
          <w:p w:rsidR="00CE58F0" w:rsidRDefault="00CE58F0" w:rsidP="00413B8D">
            <w:r>
              <w:t>Overseas  quoted securities</w:t>
            </w:r>
          </w:p>
        </w:tc>
        <w:tc>
          <w:tcPr>
            <w:tcW w:w="2200" w:type="dxa"/>
            <w:gridSpan w:val="2"/>
          </w:tcPr>
          <w:p w:rsidR="00CE58F0" w:rsidRDefault="00CE58F0" w:rsidP="00413B8D">
            <w:pPr>
              <w:jc w:val="right"/>
            </w:pPr>
            <w:r>
              <w:t>1,689.8</w:t>
            </w:r>
          </w:p>
        </w:tc>
        <w:tc>
          <w:tcPr>
            <w:tcW w:w="1984" w:type="dxa"/>
            <w:gridSpan w:val="2"/>
          </w:tcPr>
          <w:p w:rsidR="00CE58F0" w:rsidRDefault="00CE58F0" w:rsidP="00413B8D">
            <w:pPr>
              <w:jc w:val="right"/>
            </w:pPr>
            <w:r>
              <w:t>1,791.1</w:t>
            </w:r>
          </w:p>
        </w:tc>
        <w:tc>
          <w:tcPr>
            <w:tcW w:w="1985" w:type="dxa"/>
            <w:gridSpan w:val="2"/>
          </w:tcPr>
          <w:p w:rsidR="00CE58F0" w:rsidRDefault="00CE58F0" w:rsidP="00413B8D">
            <w:pPr>
              <w:jc w:val="right"/>
            </w:pPr>
            <w:r>
              <w:t>1,588.4</w:t>
            </w:r>
          </w:p>
        </w:tc>
      </w:tr>
      <w:tr w:rsidR="00CE58F0" w:rsidTr="00BE7D70">
        <w:trPr>
          <w:gridAfter w:val="1"/>
          <w:wAfter w:w="68" w:type="dxa"/>
        </w:trPr>
        <w:tc>
          <w:tcPr>
            <w:tcW w:w="4394" w:type="dxa"/>
          </w:tcPr>
          <w:p w:rsidR="00CE58F0" w:rsidRDefault="00CE58F0" w:rsidP="00413B8D">
            <w:r>
              <w:t>Overseas corporate bonds (quoted)</w:t>
            </w:r>
          </w:p>
        </w:tc>
        <w:tc>
          <w:tcPr>
            <w:tcW w:w="2200" w:type="dxa"/>
            <w:gridSpan w:val="2"/>
          </w:tcPr>
          <w:p w:rsidR="00CE58F0" w:rsidRDefault="00CE58F0" w:rsidP="00413B8D">
            <w:pPr>
              <w:jc w:val="right"/>
            </w:pPr>
            <w:r>
              <w:t>157.0</w:t>
            </w:r>
          </w:p>
        </w:tc>
        <w:tc>
          <w:tcPr>
            <w:tcW w:w="1984" w:type="dxa"/>
            <w:gridSpan w:val="2"/>
          </w:tcPr>
          <w:p w:rsidR="00CE58F0" w:rsidRDefault="00CE58F0" w:rsidP="00413B8D">
            <w:pPr>
              <w:jc w:val="right"/>
            </w:pPr>
            <w:r>
              <w:t>166.4</w:t>
            </w:r>
          </w:p>
        </w:tc>
        <w:tc>
          <w:tcPr>
            <w:tcW w:w="1985" w:type="dxa"/>
            <w:gridSpan w:val="2"/>
          </w:tcPr>
          <w:p w:rsidR="00CE58F0" w:rsidRDefault="00CE58F0" w:rsidP="00413B8D">
            <w:pPr>
              <w:jc w:val="right"/>
            </w:pPr>
            <w:r>
              <w:t>147.6</w:t>
            </w:r>
          </w:p>
        </w:tc>
      </w:tr>
      <w:tr w:rsidR="00CE58F0" w:rsidTr="00BE7D70">
        <w:trPr>
          <w:gridAfter w:val="1"/>
          <w:wAfter w:w="68" w:type="dxa"/>
        </w:trPr>
        <w:tc>
          <w:tcPr>
            <w:tcW w:w="4394" w:type="dxa"/>
          </w:tcPr>
          <w:p w:rsidR="00CE58F0" w:rsidRDefault="00CE58F0" w:rsidP="00413B8D">
            <w:r>
              <w:t>Overseas  fixed income</w:t>
            </w:r>
          </w:p>
        </w:tc>
        <w:tc>
          <w:tcPr>
            <w:tcW w:w="2200" w:type="dxa"/>
            <w:gridSpan w:val="2"/>
          </w:tcPr>
          <w:p w:rsidR="00CE58F0" w:rsidRDefault="00CE58F0" w:rsidP="00413B8D">
            <w:pPr>
              <w:jc w:val="right"/>
            </w:pPr>
            <w:r>
              <w:t>970.3</w:t>
            </w:r>
          </w:p>
        </w:tc>
        <w:tc>
          <w:tcPr>
            <w:tcW w:w="1984" w:type="dxa"/>
            <w:gridSpan w:val="2"/>
          </w:tcPr>
          <w:p w:rsidR="00CE58F0" w:rsidRDefault="00CE58F0" w:rsidP="00413B8D">
            <w:pPr>
              <w:jc w:val="right"/>
            </w:pPr>
            <w:r>
              <w:t>1,028.5</w:t>
            </w:r>
          </w:p>
        </w:tc>
        <w:tc>
          <w:tcPr>
            <w:tcW w:w="1985" w:type="dxa"/>
            <w:gridSpan w:val="2"/>
          </w:tcPr>
          <w:p w:rsidR="00CE58F0" w:rsidRDefault="00CE58F0" w:rsidP="00413B8D">
            <w:pPr>
              <w:jc w:val="right"/>
            </w:pPr>
            <w:r>
              <w:t>912.1</w:t>
            </w:r>
          </w:p>
        </w:tc>
      </w:tr>
      <w:tr w:rsidR="00CE58F0" w:rsidTr="00BE7D70">
        <w:trPr>
          <w:gridAfter w:val="1"/>
          <w:wAfter w:w="68" w:type="dxa"/>
        </w:trPr>
        <w:tc>
          <w:tcPr>
            <w:tcW w:w="4394" w:type="dxa"/>
          </w:tcPr>
          <w:p w:rsidR="00CE58F0" w:rsidRDefault="00CE58F0" w:rsidP="00413B8D">
            <w:r>
              <w:t>Overseas pooled investments</w:t>
            </w:r>
          </w:p>
        </w:tc>
        <w:tc>
          <w:tcPr>
            <w:tcW w:w="2200" w:type="dxa"/>
            <w:gridSpan w:val="2"/>
          </w:tcPr>
          <w:p w:rsidR="00CE58F0" w:rsidRDefault="00CE58F0" w:rsidP="00413B8D">
            <w:pPr>
              <w:jc w:val="right"/>
            </w:pPr>
            <w:r>
              <w:t>956.8</w:t>
            </w:r>
          </w:p>
        </w:tc>
        <w:tc>
          <w:tcPr>
            <w:tcW w:w="1984" w:type="dxa"/>
            <w:gridSpan w:val="2"/>
          </w:tcPr>
          <w:p w:rsidR="00CE58F0" w:rsidRDefault="00CE58F0" w:rsidP="00413B8D">
            <w:pPr>
              <w:jc w:val="right"/>
            </w:pPr>
            <w:r>
              <w:t>1,014.2</w:t>
            </w:r>
          </w:p>
        </w:tc>
        <w:tc>
          <w:tcPr>
            <w:tcW w:w="1985" w:type="dxa"/>
            <w:gridSpan w:val="2"/>
          </w:tcPr>
          <w:p w:rsidR="00CE58F0" w:rsidRDefault="00CE58F0" w:rsidP="00413B8D">
            <w:pPr>
              <w:jc w:val="right"/>
            </w:pPr>
            <w:r>
              <w:t>899.4</w:t>
            </w:r>
          </w:p>
        </w:tc>
      </w:tr>
      <w:tr w:rsidR="00CE58F0" w:rsidTr="00BE7D70">
        <w:trPr>
          <w:gridAfter w:val="1"/>
          <w:wAfter w:w="68" w:type="dxa"/>
        </w:trPr>
        <w:tc>
          <w:tcPr>
            <w:tcW w:w="4394" w:type="dxa"/>
          </w:tcPr>
          <w:p w:rsidR="00CE58F0" w:rsidRPr="00DD0EE9" w:rsidRDefault="00CE58F0" w:rsidP="00413B8D">
            <w:pPr>
              <w:rPr>
                <w:b/>
              </w:rPr>
            </w:pPr>
            <w:r>
              <w:rPr>
                <w:b/>
              </w:rPr>
              <w:t xml:space="preserve">Total change in assets available  </w:t>
            </w:r>
          </w:p>
        </w:tc>
        <w:tc>
          <w:tcPr>
            <w:tcW w:w="2200" w:type="dxa"/>
            <w:gridSpan w:val="2"/>
          </w:tcPr>
          <w:p w:rsidR="00CE58F0" w:rsidRPr="004A007A" w:rsidRDefault="00CE58F0" w:rsidP="00413B8D">
            <w:pPr>
              <w:jc w:val="right"/>
              <w:rPr>
                <w:b/>
              </w:rPr>
            </w:pPr>
            <w:r>
              <w:rPr>
                <w:b/>
              </w:rPr>
              <w:t>3,773.9</w:t>
            </w:r>
          </w:p>
        </w:tc>
        <w:tc>
          <w:tcPr>
            <w:tcW w:w="1984" w:type="dxa"/>
            <w:gridSpan w:val="2"/>
          </w:tcPr>
          <w:p w:rsidR="00CE58F0" w:rsidRPr="004A007A" w:rsidRDefault="00CE58F0" w:rsidP="00413B8D">
            <w:pPr>
              <w:jc w:val="right"/>
              <w:rPr>
                <w:b/>
              </w:rPr>
            </w:pPr>
            <w:r>
              <w:rPr>
                <w:b/>
              </w:rPr>
              <w:t>4,000.2</w:t>
            </w:r>
          </w:p>
        </w:tc>
        <w:tc>
          <w:tcPr>
            <w:tcW w:w="1985" w:type="dxa"/>
            <w:gridSpan w:val="2"/>
          </w:tcPr>
          <w:p w:rsidR="00CE58F0" w:rsidRDefault="00CE58F0" w:rsidP="00413B8D">
            <w:pPr>
              <w:jc w:val="right"/>
              <w:rPr>
                <w:b/>
              </w:rPr>
            </w:pPr>
            <w:r>
              <w:rPr>
                <w:b/>
              </w:rPr>
              <w:t>3,547.5</w:t>
            </w:r>
          </w:p>
          <w:p w:rsidR="00E87CD5" w:rsidRPr="004A007A" w:rsidRDefault="00E87CD5" w:rsidP="00413B8D">
            <w:pPr>
              <w:jc w:val="right"/>
              <w:rPr>
                <w:b/>
              </w:rPr>
            </w:pPr>
          </w:p>
        </w:tc>
      </w:tr>
      <w:tr w:rsidR="00CE58F0" w:rsidTr="00BE7D70">
        <w:tc>
          <w:tcPr>
            <w:tcW w:w="4462" w:type="dxa"/>
            <w:gridSpan w:val="2"/>
          </w:tcPr>
          <w:p w:rsidR="00CE58F0" w:rsidRPr="00DD0EE9" w:rsidRDefault="00CE58F0" w:rsidP="00413B8D">
            <w:pPr>
              <w:rPr>
                <w:b/>
              </w:rPr>
            </w:pPr>
            <w:r>
              <w:t xml:space="preserve">  </w:t>
            </w:r>
            <w:r w:rsidRPr="00DD0EE9">
              <w:rPr>
                <w:b/>
              </w:rPr>
              <w:t xml:space="preserve">Currency exposure – asset type </w:t>
            </w:r>
          </w:p>
        </w:tc>
        <w:tc>
          <w:tcPr>
            <w:tcW w:w="2200" w:type="dxa"/>
            <w:gridSpan w:val="2"/>
          </w:tcPr>
          <w:p w:rsidR="00CE58F0" w:rsidRPr="00DD0EE9" w:rsidRDefault="00CE58F0" w:rsidP="00413B8D">
            <w:pPr>
              <w:jc w:val="center"/>
              <w:rPr>
                <w:b/>
              </w:rPr>
            </w:pPr>
            <w:r w:rsidRPr="00DD0EE9">
              <w:rPr>
                <w:b/>
              </w:rPr>
              <w:t xml:space="preserve"> </w:t>
            </w:r>
          </w:p>
          <w:p w:rsidR="00CE58F0" w:rsidRPr="00DD0EE9" w:rsidRDefault="00CE58F0" w:rsidP="00413B8D">
            <w:pPr>
              <w:jc w:val="right"/>
              <w:rPr>
                <w:b/>
              </w:rPr>
            </w:pPr>
          </w:p>
        </w:tc>
        <w:tc>
          <w:tcPr>
            <w:tcW w:w="3969" w:type="dxa"/>
            <w:gridSpan w:val="4"/>
          </w:tcPr>
          <w:p w:rsidR="00CE58F0" w:rsidRPr="00DD0EE9" w:rsidRDefault="00CE58F0" w:rsidP="00413B8D">
            <w:pPr>
              <w:jc w:val="right"/>
              <w:rPr>
                <w:b/>
              </w:rPr>
            </w:pPr>
            <w:r>
              <w:rPr>
                <w:b/>
              </w:rPr>
              <w:t xml:space="preserve">*Change to net assets available to pay benefits </w:t>
            </w:r>
          </w:p>
        </w:tc>
      </w:tr>
      <w:tr w:rsidR="00CE58F0" w:rsidTr="00BE7D70">
        <w:tc>
          <w:tcPr>
            <w:tcW w:w="4462" w:type="dxa"/>
            <w:gridSpan w:val="2"/>
          </w:tcPr>
          <w:p w:rsidR="00CE58F0" w:rsidRDefault="00CE58F0" w:rsidP="00413B8D"/>
        </w:tc>
        <w:tc>
          <w:tcPr>
            <w:tcW w:w="2200" w:type="dxa"/>
            <w:gridSpan w:val="2"/>
          </w:tcPr>
          <w:p w:rsidR="00CE58F0" w:rsidRPr="00DD0EE9" w:rsidRDefault="00CE58F0" w:rsidP="00413B8D">
            <w:pPr>
              <w:jc w:val="right"/>
              <w:rPr>
                <w:b/>
              </w:rPr>
            </w:pPr>
            <w:r>
              <w:rPr>
                <w:b/>
              </w:rPr>
              <w:t>31/03/13*</w:t>
            </w:r>
          </w:p>
        </w:tc>
        <w:tc>
          <w:tcPr>
            <w:tcW w:w="1984" w:type="dxa"/>
            <w:gridSpan w:val="2"/>
          </w:tcPr>
          <w:p w:rsidR="00CE58F0" w:rsidRPr="00DD0EE9" w:rsidRDefault="00CE58F0" w:rsidP="00413B8D">
            <w:pPr>
              <w:ind w:left="1038"/>
              <w:jc w:val="right"/>
              <w:rPr>
                <w:b/>
              </w:rPr>
            </w:pPr>
            <w:r w:rsidRPr="003818B9">
              <w:rPr>
                <w:b/>
              </w:rPr>
              <w:t>+</w:t>
            </w:r>
            <w:r>
              <w:rPr>
                <w:b/>
              </w:rPr>
              <w:t>6</w:t>
            </w:r>
            <w:r w:rsidRPr="00B12F4C">
              <w:rPr>
                <w:b/>
              </w:rPr>
              <w:t>.1</w:t>
            </w:r>
            <w:r>
              <w:rPr>
                <w:b/>
              </w:rPr>
              <w:t>%</w:t>
            </w:r>
          </w:p>
        </w:tc>
        <w:tc>
          <w:tcPr>
            <w:tcW w:w="1985" w:type="dxa"/>
            <w:gridSpan w:val="2"/>
          </w:tcPr>
          <w:p w:rsidR="00CE58F0" w:rsidRPr="00DD0EE9" w:rsidRDefault="00CE58F0" w:rsidP="00413B8D">
            <w:pPr>
              <w:ind w:right="34"/>
              <w:jc w:val="right"/>
              <w:rPr>
                <w:b/>
              </w:rPr>
            </w:pPr>
            <w:r>
              <w:rPr>
                <w:b/>
              </w:rPr>
              <w:t>-</w:t>
            </w:r>
            <w:r w:rsidRPr="00B12F4C">
              <w:rPr>
                <w:b/>
              </w:rPr>
              <w:t>6.1</w:t>
            </w:r>
            <w:r>
              <w:rPr>
                <w:b/>
              </w:rPr>
              <w:t>%</w:t>
            </w:r>
          </w:p>
        </w:tc>
      </w:tr>
      <w:tr w:rsidR="00CE58F0" w:rsidTr="00BE7D70">
        <w:tc>
          <w:tcPr>
            <w:tcW w:w="4462" w:type="dxa"/>
            <w:gridSpan w:val="2"/>
          </w:tcPr>
          <w:p w:rsidR="00CE58F0" w:rsidRDefault="00CE58F0" w:rsidP="00413B8D"/>
        </w:tc>
        <w:tc>
          <w:tcPr>
            <w:tcW w:w="2200" w:type="dxa"/>
            <w:gridSpan w:val="2"/>
          </w:tcPr>
          <w:p w:rsidR="00CE58F0" w:rsidRPr="00DD0EE9" w:rsidRDefault="00CE58F0" w:rsidP="00413B8D">
            <w:pPr>
              <w:jc w:val="right"/>
              <w:rPr>
                <w:b/>
              </w:rPr>
            </w:pPr>
            <w:r>
              <w:rPr>
                <w:b/>
              </w:rPr>
              <w:t>£m</w:t>
            </w:r>
          </w:p>
        </w:tc>
        <w:tc>
          <w:tcPr>
            <w:tcW w:w="1984" w:type="dxa"/>
            <w:gridSpan w:val="2"/>
          </w:tcPr>
          <w:p w:rsidR="00CE58F0" w:rsidRPr="00DD0EE9" w:rsidRDefault="00CE58F0" w:rsidP="00413B8D">
            <w:pPr>
              <w:ind w:left="1038"/>
              <w:jc w:val="right"/>
              <w:rPr>
                <w:b/>
              </w:rPr>
            </w:pPr>
            <w:r>
              <w:rPr>
                <w:b/>
              </w:rPr>
              <w:t>£m</w:t>
            </w:r>
          </w:p>
        </w:tc>
        <w:tc>
          <w:tcPr>
            <w:tcW w:w="1985" w:type="dxa"/>
            <w:gridSpan w:val="2"/>
          </w:tcPr>
          <w:p w:rsidR="00CE58F0" w:rsidRPr="00DD0EE9" w:rsidRDefault="00CE58F0" w:rsidP="00413B8D">
            <w:pPr>
              <w:ind w:left="1038" w:right="34"/>
              <w:jc w:val="right"/>
              <w:rPr>
                <w:b/>
              </w:rPr>
            </w:pPr>
            <w:r>
              <w:rPr>
                <w:b/>
              </w:rPr>
              <w:t>£m</w:t>
            </w:r>
          </w:p>
        </w:tc>
      </w:tr>
      <w:tr w:rsidR="00CE58F0" w:rsidTr="00BE7D70">
        <w:tc>
          <w:tcPr>
            <w:tcW w:w="4462" w:type="dxa"/>
            <w:gridSpan w:val="2"/>
          </w:tcPr>
          <w:p w:rsidR="00CE58F0" w:rsidRDefault="00CE58F0" w:rsidP="00413B8D">
            <w:r>
              <w:t>Overseas  quoted securities</w:t>
            </w:r>
          </w:p>
        </w:tc>
        <w:tc>
          <w:tcPr>
            <w:tcW w:w="2200" w:type="dxa"/>
            <w:gridSpan w:val="2"/>
          </w:tcPr>
          <w:p w:rsidR="00CE58F0" w:rsidRDefault="00CE58F0" w:rsidP="00413B8D">
            <w:pPr>
              <w:jc w:val="right"/>
            </w:pPr>
            <w:r>
              <w:t>1,531.0</w:t>
            </w:r>
          </w:p>
        </w:tc>
        <w:tc>
          <w:tcPr>
            <w:tcW w:w="1984" w:type="dxa"/>
            <w:gridSpan w:val="2"/>
          </w:tcPr>
          <w:p w:rsidR="00CE58F0" w:rsidRDefault="00CE58F0" w:rsidP="00413B8D">
            <w:pPr>
              <w:jc w:val="right"/>
            </w:pPr>
            <w:r>
              <w:t>1,624.4</w:t>
            </w:r>
          </w:p>
        </w:tc>
        <w:tc>
          <w:tcPr>
            <w:tcW w:w="1985" w:type="dxa"/>
            <w:gridSpan w:val="2"/>
          </w:tcPr>
          <w:p w:rsidR="00CE58F0" w:rsidRDefault="00CE58F0" w:rsidP="00413B8D">
            <w:pPr>
              <w:ind w:right="34"/>
              <w:jc w:val="right"/>
            </w:pPr>
            <w:r>
              <w:t>1,437.6</w:t>
            </w:r>
          </w:p>
        </w:tc>
      </w:tr>
      <w:tr w:rsidR="00CE58F0" w:rsidTr="00BE7D70">
        <w:tc>
          <w:tcPr>
            <w:tcW w:w="4462" w:type="dxa"/>
            <w:gridSpan w:val="2"/>
          </w:tcPr>
          <w:p w:rsidR="00CE58F0" w:rsidRDefault="00CE58F0" w:rsidP="00413B8D">
            <w:r>
              <w:t>Overseas corporate bonds (quoted)</w:t>
            </w:r>
          </w:p>
        </w:tc>
        <w:tc>
          <w:tcPr>
            <w:tcW w:w="2200" w:type="dxa"/>
            <w:gridSpan w:val="2"/>
          </w:tcPr>
          <w:p w:rsidR="00CE58F0" w:rsidRDefault="00CE58F0" w:rsidP="00413B8D">
            <w:pPr>
              <w:jc w:val="right"/>
            </w:pPr>
            <w:r>
              <w:t>323.7</w:t>
            </w:r>
          </w:p>
        </w:tc>
        <w:tc>
          <w:tcPr>
            <w:tcW w:w="1984" w:type="dxa"/>
            <w:gridSpan w:val="2"/>
          </w:tcPr>
          <w:p w:rsidR="00CE58F0" w:rsidRDefault="00CE58F0" w:rsidP="00413B8D">
            <w:pPr>
              <w:jc w:val="right"/>
            </w:pPr>
            <w:r>
              <w:t>343.5</w:t>
            </w:r>
          </w:p>
        </w:tc>
        <w:tc>
          <w:tcPr>
            <w:tcW w:w="1985" w:type="dxa"/>
            <w:gridSpan w:val="2"/>
          </w:tcPr>
          <w:p w:rsidR="00CE58F0" w:rsidRDefault="00CE58F0" w:rsidP="00413B8D">
            <w:pPr>
              <w:ind w:right="34"/>
              <w:jc w:val="right"/>
            </w:pPr>
            <w:r>
              <w:t>303.9</w:t>
            </w:r>
          </w:p>
        </w:tc>
      </w:tr>
      <w:tr w:rsidR="00CE58F0" w:rsidTr="00BE7D70">
        <w:tc>
          <w:tcPr>
            <w:tcW w:w="4462" w:type="dxa"/>
            <w:gridSpan w:val="2"/>
          </w:tcPr>
          <w:p w:rsidR="00CE58F0" w:rsidRDefault="00CE58F0" w:rsidP="00413B8D">
            <w:r>
              <w:t>Overseas  fixed income</w:t>
            </w:r>
          </w:p>
        </w:tc>
        <w:tc>
          <w:tcPr>
            <w:tcW w:w="2200" w:type="dxa"/>
            <w:gridSpan w:val="2"/>
          </w:tcPr>
          <w:p w:rsidR="00CE58F0" w:rsidRDefault="00CE58F0" w:rsidP="00413B8D">
            <w:pPr>
              <w:jc w:val="right"/>
            </w:pPr>
            <w:r>
              <w:t>*412.0</w:t>
            </w:r>
          </w:p>
        </w:tc>
        <w:tc>
          <w:tcPr>
            <w:tcW w:w="1984" w:type="dxa"/>
            <w:gridSpan w:val="2"/>
          </w:tcPr>
          <w:p w:rsidR="00CE58F0" w:rsidRDefault="00CE58F0" w:rsidP="00413B8D">
            <w:pPr>
              <w:jc w:val="right"/>
            </w:pPr>
            <w:r>
              <w:t>*437.1</w:t>
            </w:r>
          </w:p>
        </w:tc>
        <w:tc>
          <w:tcPr>
            <w:tcW w:w="1985" w:type="dxa"/>
            <w:gridSpan w:val="2"/>
          </w:tcPr>
          <w:p w:rsidR="00CE58F0" w:rsidRDefault="00CE58F0" w:rsidP="00413B8D">
            <w:pPr>
              <w:ind w:right="34"/>
              <w:jc w:val="right"/>
            </w:pPr>
            <w:r>
              <w:t>*386.8</w:t>
            </w:r>
          </w:p>
        </w:tc>
      </w:tr>
      <w:tr w:rsidR="00CE58F0" w:rsidTr="00BE7D70">
        <w:tc>
          <w:tcPr>
            <w:tcW w:w="4462" w:type="dxa"/>
            <w:gridSpan w:val="2"/>
          </w:tcPr>
          <w:p w:rsidR="00CE58F0" w:rsidRDefault="00CE58F0" w:rsidP="00413B8D">
            <w:r>
              <w:t>Overseas pooled investments</w:t>
            </w:r>
          </w:p>
        </w:tc>
        <w:tc>
          <w:tcPr>
            <w:tcW w:w="2200" w:type="dxa"/>
            <w:gridSpan w:val="2"/>
          </w:tcPr>
          <w:p w:rsidR="00CE58F0" w:rsidRDefault="00CE58F0" w:rsidP="00413B8D">
            <w:pPr>
              <w:jc w:val="right"/>
            </w:pPr>
            <w:r>
              <w:t>*804.4</w:t>
            </w:r>
          </w:p>
        </w:tc>
        <w:tc>
          <w:tcPr>
            <w:tcW w:w="1984" w:type="dxa"/>
            <w:gridSpan w:val="2"/>
          </w:tcPr>
          <w:p w:rsidR="00CE58F0" w:rsidRDefault="00CE58F0" w:rsidP="00413B8D">
            <w:pPr>
              <w:jc w:val="right"/>
            </w:pPr>
            <w:r>
              <w:t>*853.5</w:t>
            </w:r>
          </w:p>
        </w:tc>
        <w:tc>
          <w:tcPr>
            <w:tcW w:w="1985" w:type="dxa"/>
            <w:gridSpan w:val="2"/>
          </w:tcPr>
          <w:p w:rsidR="00CE58F0" w:rsidRDefault="00CE58F0" w:rsidP="00413B8D">
            <w:pPr>
              <w:ind w:right="34"/>
              <w:jc w:val="right"/>
            </w:pPr>
            <w:r>
              <w:t>*755.3</w:t>
            </w:r>
          </w:p>
        </w:tc>
      </w:tr>
      <w:tr w:rsidR="00CE58F0" w:rsidTr="00BE7D70">
        <w:tc>
          <w:tcPr>
            <w:tcW w:w="4462" w:type="dxa"/>
            <w:gridSpan w:val="2"/>
          </w:tcPr>
          <w:p w:rsidR="00CE58F0" w:rsidRPr="00DD0EE9" w:rsidRDefault="00CE58F0" w:rsidP="00413B8D">
            <w:pPr>
              <w:rPr>
                <w:b/>
              </w:rPr>
            </w:pPr>
            <w:r>
              <w:rPr>
                <w:b/>
              </w:rPr>
              <w:t xml:space="preserve">Total change in assets available  </w:t>
            </w:r>
          </w:p>
        </w:tc>
        <w:tc>
          <w:tcPr>
            <w:tcW w:w="2200" w:type="dxa"/>
            <w:gridSpan w:val="2"/>
          </w:tcPr>
          <w:p w:rsidR="00CE58F0" w:rsidRPr="004A007A" w:rsidRDefault="00CE58F0" w:rsidP="00413B8D">
            <w:pPr>
              <w:jc w:val="right"/>
              <w:rPr>
                <w:b/>
              </w:rPr>
            </w:pPr>
            <w:r w:rsidRPr="002C1CA1">
              <w:rPr>
                <w:b/>
              </w:rPr>
              <w:t>3,071.1</w:t>
            </w:r>
          </w:p>
        </w:tc>
        <w:tc>
          <w:tcPr>
            <w:tcW w:w="1984" w:type="dxa"/>
            <w:gridSpan w:val="2"/>
          </w:tcPr>
          <w:p w:rsidR="00CE58F0" w:rsidRPr="004A007A" w:rsidRDefault="00CE58F0" w:rsidP="00413B8D">
            <w:pPr>
              <w:jc w:val="right"/>
              <w:rPr>
                <w:b/>
              </w:rPr>
            </w:pPr>
            <w:r w:rsidRPr="002C1CA1">
              <w:rPr>
                <w:b/>
              </w:rPr>
              <w:t>3,258.5</w:t>
            </w:r>
          </w:p>
        </w:tc>
        <w:tc>
          <w:tcPr>
            <w:tcW w:w="1985" w:type="dxa"/>
            <w:gridSpan w:val="2"/>
          </w:tcPr>
          <w:p w:rsidR="00CE58F0" w:rsidRPr="004A007A" w:rsidRDefault="00CE58F0" w:rsidP="00413B8D">
            <w:pPr>
              <w:ind w:right="34"/>
              <w:jc w:val="right"/>
              <w:rPr>
                <w:b/>
              </w:rPr>
            </w:pPr>
            <w:r w:rsidRPr="002C1CA1">
              <w:rPr>
                <w:b/>
              </w:rPr>
              <w:t>2883.</w:t>
            </w:r>
            <w:r>
              <w:rPr>
                <w:b/>
              </w:rPr>
              <w:t>6</w:t>
            </w:r>
          </w:p>
        </w:tc>
      </w:tr>
    </w:tbl>
    <w:p w:rsidR="00CE58F0" w:rsidRDefault="00CE58F0" w:rsidP="00CE58F0">
      <w:pPr>
        <w:ind w:left="567"/>
      </w:pPr>
    </w:p>
    <w:p w:rsidR="00CE58F0" w:rsidRDefault="00CE58F0" w:rsidP="00CE58F0">
      <w:pPr>
        <w:ind w:left="567"/>
      </w:pPr>
      <w:r>
        <w:lastRenderedPageBreak/>
        <w:t>*Classification by asset type has been reviewed at an individual asset level at 31</w:t>
      </w:r>
      <w:r w:rsidRPr="005D4A7B">
        <w:rPr>
          <w:vertAlign w:val="superscript"/>
        </w:rPr>
        <w:t>st</w:t>
      </w:r>
      <w:r>
        <w:t xml:space="preserve"> March 2014.  For 2012/13 reporting the asset type was determined by review at an investment manager level.  Comparatives have been restated accordingly.</w:t>
      </w:r>
    </w:p>
    <w:p w:rsidR="00CE58F0" w:rsidRDefault="00CE58F0" w:rsidP="00CE58F0">
      <w:pPr>
        <w:ind w:left="709"/>
      </w:pPr>
    </w:p>
    <w:p w:rsidR="00CE58F0" w:rsidRPr="00070A9A" w:rsidRDefault="00CE58F0" w:rsidP="00CE58F0">
      <w:pPr>
        <w:ind w:firstLine="567"/>
        <w:rPr>
          <w:b/>
        </w:rPr>
      </w:pPr>
      <w:r w:rsidRPr="00070A9A">
        <w:rPr>
          <w:b/>
        </w:rPr>
        <w:t xml:space="preserve">Credit risk </w:t>
      </w:r>
    </w:p>
    <w:p w:rsidR="00CE58F0" w:rsidRDefault="00CE58F0" w:rsidP="00CE58F0">
      <w:pPr>
        <w:tabs>
          <w:tab w:val="left" w:pos="709"/>
        </w:tabs>
        <w:ind w:left="567" w:hanging="567"/>
      </w:pPr>
      <w:r>
        <w:t xml:space="preserve">    </w:t>
      </w:r>
    </w:p>
    <w:p w:rsidR="00CE58F0" w:rsidRDefault="00CE58F0" w:rsidP="00CE58F0">
      <w:pPr>
        <w:ind w:left="709"/>
      </w:pPr>
      <w:r>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CE58F0" w:rsidRDefault="00CE58F0" w:rsidP="00CE58F0">
      <w:pPr>
        <w:ind w:left="709"/>
      </w:pPr>
    </w:p>
    <w:p w:rsidR="00CE58F0" w:rsidRDefault="00CE58F0" w:rsidP="00CE58F0">
      <w:pPr>
        <w:ind w:left="709"/>
      </w:pPr>
      <w:r>
        <w:t xml:space="preserve">In essence the Fund's entire investment portfolio is exposed to some form of credit risk, with the exception of the derivatives positions, where the risk equates to the net market value of a positive derivative position.  However the selection of high quality counterparties, brokers and financial institutions minimise the credit risk that may occur through the failure to settle a transaction in a timely manner. </w:t>
      </w:r>
    </w:p>
    <w:p w:rsidR="00CE58F0" w:rsidRDefault="00CE58F0" w:rsidP="00CE58F0">
      <w:pPr>
        <w:ind w:left="709"/>
      </w:pPr>
    </w:p>
    <w:p w:rsidR="00CE58F0" w:rsidRDefault="00CE58F0" w:rsidP="00CE58F0">
      <w:pPr>
        <w:ind w:left="709"/>
      </w:pPr>
      <w:r>
        <w:t xml:space="preserve">Contractual credit risk is represented by the net payment or receipts that remain outstanding, and the cost of replacing the derivatives position in the event of a counterparty default.  The residual risk is minimal due to the various insurance policies held by the exchanges to cover defaulting counterparties. </w:t>
      </w:r>
    </w:p>
    <w:p w:rsidR="00CE58F0" w:rsidRDefault="00CE58F0" w:rsidP="00CE58F0">
      <w:pPr>
        <w:ind w:left="709"/>
      </w:pPr>
    </w:p>
    <w:p w:rsidR="00CE58F0" w:rsidRDefault="00CE58F0" w:rsidP="00CE58F0">
      <w:pPr>
        <w:ind w:left="709"/>
      </w:pPr>
      <w:r>
        <w:t xml:space="preserve">Credit risk on over-the-counter derivatives contracts is minimised as counterparties are recognised financial intermediaries with acceptable credit ratings determined by a recognised rating agency. </w:t>
      </w:r>
    </w:p>
    <w:p w:rsidR="00CE58F0" w:rsidRDefault="00CE58F0" w:rsidP="00CE58F0">
      <w:pPr>
        <w:ind w:left="709"/>
      </w:pPr>
    </w:p>
    <w:p w:rsidR="00CE58F0" w:rsidRDefault="00CE58F0" w:rsidP="00CE58F0">
      <w:pPr>
        <w:ind w:left="709"/>
      </w:pPr>
      <w:r>
        <w:t xml:space="preserve">Deposits are not made with banks and financial instructions unless they are rated independent and meet the Fund's credit criteria.  The Fund has also set limits as to the maximum percentage of the deposits placed with any class of financial institution.  </w:t>
      </w:r>
    </w:p>
    <w:p w:rsidR="00CE58F0" w:rsidRDefault="00CE58F0" w:rsidP="00CE58F0">
      <w:pPr>
        <w:ind w:left="709"/>
      </w:pPr>
    </w:p>
    <w:p w:rsidR="00CE58F0" w:rsidRDefault="00CE58F0" w:rsidP="00CE58F0">
      <w:pPr>
        <w:ind w:left="709"/>
      </w:pPr>
      <w:r>
        <w:t>The Fund's cash holding under its treasury management arrangements at 31</w:t>
      </w:r>
      <w:r w:rsidRPr="004F28AC">
        <w:rPr>
          <w:vertAlign w:val="superscript"/>
        </w:rPr>
        <w:t>st</w:t>
      </w:r>
      <w:r>
        <w:t xml:space="preserve"> March 2014 was £315.5</w:t>
      </w:r>
      <w:r w:rsidRPr="004D410F">
        <w:t>m</w:t>
      </w:r>
      <w:r>
        <w:t xml:space="preserve"> (31 March 2013: £170.5m.)  This was held with the following institutions:   </w:t>
      </w:r>
    </w:p>
    <w:p w:rsidR="00BE7D70" w:rsidRDefault="00BE7D70" w:rsidP="00CE58F0">
      <w:pPr>
        <w:ind w:left="709"/>
      </w:pPr>
    </w:p>
    <w:p w:rsidR="00BE7D70" w:rsidRDefault="00BE7D70" w:rsidP="00CE58F0">
      <w:pPr>
        <w:ind w:left="709"/>
      </w:pPr>
    </w:p>
    <w:p w:rsidR="00BE7D70" w:rsidRDefault="00BE7D70" w:rsidP="00CE58F0">
      <w:pPr>
        <w:ind w:left="709"/>
      </w:pPr>
    </w:p>
    <w:p w:rsidR="00BE7D70" w:rsidRDefault="00BE7D70" w:rsidP="00CE58F0">
      <w:pPr>
        <w:ind w:left="709"/>
      </w:pPr>
    </w:p>
    <w:p w:rsidR="00BE7D70" w:rsidRDefault="00BE7D70" w:rsidP="00CE58F0">
      <w:pPr>
        <w:ind w:left="709"/>
      </w:pPr>
    </w:p>
    <w:p w:rsidR="00BE7D70" w:rsidRDefault="00BE7D70" w:rsidP="00CE58F0">
      <w:pPr>
        <w:ind w:left="709"/>
      </w:pPr>
    </w:p>
    <w:p w:rsidR="00BE7D70" w:rsidRDefault="00BE7D70" w:rsidP="00CE58F0">
      <w:pPr>
        <w:ind w:left="709"/>
      </w:pPr>
    </w:p>
    <w:p w:rsidR="00CE58F0" w:rsidRDefault="00CE58F0" w:rsidP="00CE58F0">
      <w:pPr>
        <w:ind w:left="709"/>
      </w:pPr>
      <w:r>
        <w:t xml:space="preserve">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1560"/>
        <w:gridCol w:w="1984"/>
        <w:gridCol w:w="1984"/>
      </w:tblGrid>
      <w:tr w:rsidR="00CE58F0" w:rsidTr="00413B8D">
        <w:tc>
          <w:tcPr>
            <w:tcW w:w="3935" w:type="dxa"/>
          </w:tcPr>
          <w:p w:rsidR="00CE58F0" w:rsidRPr="000963E8" w:rsidRDefault="00CE58F0" w:rsidP="00413B8D">
            <w:pPr>
              <w:rPr>
                <w:b/>
              </w:rPr>
            </w:pPr>
            <w:r w:rsidRPr="000963E8">
              <w:rPr>
                <w:b/>
              </w:rPr>
              <w:t xml:space="preserve">Summary </w:t>
            </w:r>
          </w:p>
        </w:tc>
        <w:tc>
          <w:tcPr>
            <w:tcW w:w="1560" w:type="dxa"/>
          </w:tcPr>
          <w:p w:rsidR="00CE58F0" w:rsidRPr="000963E8" w:rsidRDefault="00CE58F0" w:rsidP="00413B8D">
            <w:pPr>
              <w:rPr>
                <w:b/>
              </w:rPr>
            </w:pPr>
            <w:r w:rsidRPr="000963E8">
              <w:rPr>
                <w:b/>
              </w:rPr>
              <w:t xml:space="preserve">Rating </w:t>
            </w:r>
          </w:p>
        </w:tc>
        <w:tc>
          <w:tcPr>
            <w:tcW w:w="1984" w:type="dxa"/>
          </w:tcPr>
          <w:p w:rsidR="00CE58F0" w:rsidRPr="000963E8" w:rsidRDefault="00CE58F0" w:rsidP="00413B8D">
            <w:pPr>
              <w:jc w:val="right"/>
              <w:rPr>
                <w:b/>
              </w:rPr>
            </w:pPr>
            <w:r>
              <w:rPr>
                <w:b/>
              </w:rPr>
              <w:t>31/03/14</w:t>
            </w:r>
            <w:r w:rsidRPr="000963E8">
              <w:rPr>
                <w:b/>
              </w:rPr>
              <w:t xml:space="preserve"> </w:t>
            </w:r>
          </w:p>
        </w:tc>
        <w:tc>
          <w:tcPr>
            <w:tcW w:w="1984" w:type="dxa"/>
          </w:tcPr>
          <w:p w:rsidR="00CE58F0" w:rsidRPr="000963E8" w:rsidRDefault="00CE58F0" w:rsidP="00413B8D">
            <w:pPr>
              <w:jc w:val="right"/>
              <w:rPr>
                <w:b/>
              </w:rPr>
            </w:pPr>
            <w:r>
              <w:rPr>
                <w:b/>
              </w:rPr>
              <w:t>31/03/13</w:t>
            </w:r>
          </w:p>
        </w:tc>
      </w:tr>
      <w:tr w:rsidR="00CE58F0" w:rsidTr="00413B8D">
        <w:tc>
          <w:tcPr>
            <w:tcW w:w="3935" w:type="dxa"/>
          </w:tcPr>
          <w:p w:rsidR="00CE58F0" w:rsidRPr="000963E8" w:rsidRDefault="00CE58F0" w:rsidP="00413B8D">
            <w:pPr>
              <w:rPr>
                <w:b/>
              </w:rPr>
            </w:pPr>
            <w:r>
              <w:rPr>
                <w:b/>
              </w:rPr>
              <w:t>Bank deposit accounts</w:t>
            </w:r>
          </w:p>
        </w:tc>
        <w:tc>
          <w:tcPr>
            <w:tcW w:w="1560" w:type="dxa"/>
          </w:tcPr>
          <w:p w:rsidR="00CE58F0" w:rsidRPr="000963E8" w:rsidRDefault="00CE58F0" w:rsidP="00413B8D">
            <w:pPr>
              <w:rPr>
                <w:b/>
              </w:rPr>
            </w:pPr>
          </w:p>
        </w:tc>
        <w:tc>
          <w:tcPr>
            <w:tcW w:w="1984" w:type="dxa"/>
          </w:tcPr>
          <w:p w:rsidR="00CE58F0" w:rsidRPr="000963E8" w:rsidRDefault="00CE58F0" w:rsidP="00413B8D">
            <w:pPr>
              <w:jc w:val="right"/>
              <w:rPr>
                <w:b/>
              </w:rPr>
            </w:pPr>
            <w:r w:rsidRPr="000963E8">
              <w:rPr>
                <w:b/>
              </w:rPr>
              <w:t>£m</w:t>
            </w:r>
          </w:p>
        </w:tc>
        <w:tc>
          <w:tcPr>
            <w:tcW w:w="1984" w:type="dxa"/>
          </w:tcPr>
          <w:p w:rsidR="00CE58F0" w:rsidRPr="000963E8" w:rsidRDefault="00CE58F0" w:rsidP="00413B8D">
            <w:pPr>
              <w:jc w:val="right"/>
              <w:rPr>
                <w:b/>
              </w:rPr>
            </w:pPr>
            <w:r w:rsidRPr="000963E8">
              <w:rPr>
                <w:b/>
              </w:rPr>
              <w:t>£m</w:t>
            </w:r>
          </w:p>
        </w:tc>
      </w:tr>
      <w:tr w:rsidR="00CE58F0" w:rsidTr="00413B8D">
        <w:tc>
          <w:tcPr>
            <w:tcW w:w="3935" w:type="dxa"/>
          </w:tcPr>
          <w:p w:rsidR="00CE58F0" w:rsidRPr="00ED6F0C" w:rsidRDefault="00CE58F0" w:rsidP="00413B8D">
            <w:r w:rsidRPr="00ED6F0C">
              <w:t xml:space="preserve">Ulster Bank </w:t>
            </w:r>
          </w:p>
        </w:tc>
        <w:tc>
          <w:tcPr>
            <w:tcW w:w="1560" w:type="dxa"/>
          </w:tcPr>
          <w:p w:rsidR="00CE58F0" w:rsidRPr="0077255D" w:rsidRDefault="00CE58F0" w:rsidP="00413B8D">
            <w:pPr>
              <w:jc w:val="center"/>
              <w:rPr>
                <w:highlight w:val="yellow"/>
              </w:rPr>
            </w:pPr>
            <w:r w:rsidRPr="000D2A66">
              <w:t>Baa3</w:t>
            </w:r>
          </w:p>
        </w:tc>
        <w:tc>
          <w:tcPr>
            <w:tcW w:w="1984" w:type="dxa"/>
          </w:tcPr>
          <w:p w:rsidR="00CE58F0" w:rsidRPr="001C77A7" w:rsidRDefault="00CE58F0" w:rsidP="00413B8D">
            <w:pPr>
              <w:jc w:val="right"/>
            </w:pPr>
            <w:r w:rsidRPr="001C77A7">
              <w:t>5.0</w:t>
            </w:r>
          </w:p>
        </w:tc>
        <w:tc>
          <w:tcPr>
            <w:tcW w:w="1984" w:type="dxa"/>
          </w:tcPr>
          <w:p w:rsidR="00CE58F0" w:rsidRPr="007B762E" w:rsidRDefault="00CE58F0" w:rsidP="00413B8D">
            <w:pPr>
              <w:ind w:left="363" w:hanging="363"/>
              <w:jc w:val="right"/>
              <w:rPr>
                <w:highlight w:val="yellow"/>
              </w:rPr>
            </w:pPr>
            <w:r w:rsidRPr="00ED6F0C">
              <w:t>5.0</w:t>
            </w:r>
          </w:p>
        </w:tc>
      </w:tr>
      <w:tr w:rsidR="00CE58F0" w:rsidTr="00413B8D">
        <w:tc>
          <w:tcPr>
            <w:tcW w:w="3935" w:type="dxa"/>
          </w:tcPr>
          <w:p w:rsidR="00CE58F0" w:rsidRPr="009A76C9" w:rsidRDefault="00CE58F0" w:rsidP="00413B8D">
            <w:pPr>
              <w:rPr>
                <w:highlight w:val="yellow"/>
              </w:rPr>
            </w:pPr>
            <w:r w:rsidRPr="00ED6F0C">
              <w:t>Northern Trust</w:t>
            </w:r>
          </w:p>
        </w:tc>
        <w:tc>
          <w:tcPr>
            <w:tcW w:w="1560" w:type="dxa"/>
          </w:tcPr>
          <w:p w:rsidR="00CE58F0" w:rsidRPr="0077255D" w:rsidRDefault="00CE58F0" w:rsidP="00413B8D">
            <w:pPr>
              <w:jc w:val="center"/>
              <w:rPr>
                <w:highlight w:val="yellow"/>
              </w:rPr>
            </w:pPr>
            <w:r w:rsidRPr="000D2A66">
              <w:t>A1</w:t>
            </w:r>
          </w:p>
        </w:tc>
        <w:tc>
          <w:tcPr>
            <w:tcW w:w="1984" w:type="dxa"/>
          </w:tcPr>
          <w:p w:rsidR="00CE58F0" w:rsidRPr="001C77A7" w:rsidRDefault="00CE58F0" w:rsidP="00413B8D">
            <w:pPr>
              <w:jc w:val="right"/>
            </w:pPr>
            <w:r>
              <w:t>248.0</w:t>
            </w:r>
          </w:p>
        </w:tc>
        <w:tc>
          <w:tcPr>
            <w:tcW w:w="1984" w:type="dxa"/>
          </w:tcPr>
          <w:p w:rsidR="00CE58F0" w:rsidRPr="00851F51" w:rsidRDefault="00CE58F0" w:rsidP="00413B8D">
            <w:pPr>
              <w:jc w:val="right"/>
            </w:pPr>
            <w:r w:rsidRPr="00851F51">
              <w:t>75.</w:t>
            </w:r>
            <w:r>
              <w:t>0</w:t>
            </w:r>
          </w:p>
        </w:tc>
      </w:tr>
      <w:tr w:rsidR="00CE58F0" w:rsidTr="00413B8D">
        <w:tc>
          <w:tcPr>
            <w:tcW w:w="3935" w:type="dxa"/>
          </w:tcPr>
          <w:p w:rsidR="00CE58F0" w:rsidRPr="00EB6C4E" w:rsidRDefault="00CE58F0" w:rsidP="00413B8D">
            <w:r w:rsidRPr="00EB6C4E">
              <w:t>Svenska Handelsbanken</w:t>
            </w:r>
          </w:p>
        </w:tc>
        <w:tc>
          <w:tcPr>
            <w:tcW w:w="1560" w:type="dxa"/>
          </w:tcPr>
          <w:p w:rsidR="00CE58F0" w:rsidRPr="00EB6C4E" w:rsidRDefault="00CE58F0" w:rsidP="00413B8D">
            <w:pPr>
              <w:jc w:val="center"/>
            </w:pPr>
            <w:r>
              <w:t>Aa3</w:t>
            </w:r>
          </w:p>
        </w:tc>
        <w:tc>
          <w:tcPr>
            <w:tcW w:w="1984" w:type="dxa"/>
          </w:tcPr>
          <w:p w:rsidR="00CE58F0" w:rsidRPr="001C77A7" w:rsidRDefault="00CE58F0" w:rsidP="00413B8D">
            <w:pPr>
              <w:jc w:val="right"/>
            </w:pPr>
            <w:r>
              <w:t>61.4</w:t>
            </w:r>
          </w:p>
        </w:tc>
        <w:tc>
          <w:tcPr>
            <w:tcW w:w="1984" w:type="dxa"/>
          </w:tcPr>
          <w:p w:rsidR="00CE58F0" w:rsidRDefault="00CE58F0" w:rsidP="00413B8D">
            <w:pPr>
              <w:jc w:val="right"/>
            </w:pPr>
            <w:r>
              <w:t>0.0</w:t>
            </w:r>
          </w:p>
        </w:tc>
      </w:tr>
      <w:tr w:rsidR="00CE58F0" w:rsidTr="00413B8D">
        <w:tc>
          <w:tcPr>
            <w:tcW w:w="3935" w:type="dxa"/>
          </w:tcPr>
          <w:p w:rsidR="00CE58F0" w:rsidRPr="0031114B" w:rsidRDefault="00CE58F0" w:rsidP="00413B8D">
            <w:pPr>
              <w:rPr>
                <w:b/>
              </w:rPr>
            </w:pPr>
            <w:r w:rsidRPr="00ED6F0C">
              <w:t>Bank of Scotland</w:t>
            </w:r>
          </w:p>
        </w:tc>
        <w:tc>
          <w:tcPr>
            <w:tcW w:w="1560" w:type="dxa"/>
          </w:tcPr>
          <w:p w:rsidR="00CE58F0" w:rsidRPr="0077255D" w:rsidRDefault="00CE58F0" w:rsidP="00413B8D">
            <w:pPr>
              <w:jc w:val="center"/>
              <w:rPr>
                <w:highlight w:val="yellow"/>
              </w:rPr>
            </w:pPr>
            <w:r w:rsidRPr="000D2A66">
              <w:t>A2</w:t>
            </w:r>
          </w:p>
        </w:tc>
        <w:tc>
          <w:tcPr>
            <w:tcW w:w="1984" w:type="dxa"/>
          </w:tcPr>
          <w:p w:rsidR="00CE58F0" w:rsidRPr="001C77A7" w:rsidRDefault="00CE58F0" w:rsidP="00413B8D">
            <w:pPr>
              <w:jc w:val="right"/>
            </w:pPr>
            <w:r>
              <w:t>0.0</w:t>
            </w:r>
          </w:p>
        </w:tc>
        <w:tc>
          <w:tcPr>
            <w:tcW w:w="1984" w:type="dxa"/>
          </w:tcPr>
          <w:p w:rsidR="00CE58F0" w:rsidRDefault="00CE58F0" w:rsidP="00413B8D">
            <w:pPr>
              <w:jc w:val="right"/>
            </w:pPr>
            <w:r>
              <w:t>50.0</w:t>
            </w:r>
          </w:p>
        </w:tc>
      </w:tr>
      <w:tr w:rsidR="00CE58F0" w:rsidTr="00413B8D">
        <w:tc>
          <w:tcPr>
            <w:tcW w:w="3935" w:type="dxa"/>
          </w:tcPr>
          <w:p w:rsidR="00CE58F0" w:rsidRPr="0031114B" w:rsidRDefault="00CE58F0" w:rsidP="00413B8D">
            <w:pPr>
              <w:rPr>
                <w:b/>
              </w:rPr>
            </w:pPr>
            <w:r w:rsidRPr="0031114B">
              <w:rPr>
                <w:b/>
              </w:rPr>
              <w:t xml:space="preserve">Bank Current Accounts </w:t>
            </w:r>
          </w:p>
        </w:tc>
        <w:tc>
          <w:tcPr>
            <w:tcW w:w="1560" w:type="dxa"/>
          </w:tcPr>
          <w:p w:rsidR="00CE58F0" w:rsidRPr="0077255D" w:rsidRDefault="00CE58F0" w:rsidP="00413B8D">
            <w:pPr>
              <w:jc w:val="center"/>
              <w:rPr>
                <w:highlight w:val="yellow"/>
              </w:rPr>
            </w:pPr>
          </w:p>
        </w:tc>
        <w:tc>
          <w:tcPr>
            <w:tcW w:w="1984" w:type="dxa"/>
          </w:tcPr>
          <w:p w:rsidR="00CE58F0" w:rsidRPr="001C77A7" w:rsidRDefault="00CE58F0" w:rsidP="00413B8D">
            <w:pPr>
              <w:jc w:val="right"/>
            </w:pPr>
          </w:p>
        </w:tc>
        <w:tc>
          <w:tcPr>
            <w:tcW w:w="1984" w:type="dxa"/>
          </w:tcPr>
          <w:p w:rsidR="00CE58F0" w:rsidRDefault="00CE58F0" w:rsidP="00413B8D">
            <w:pPr>
              <w:jc w:val="right"/>
            </w:pPr>
          </w:p>
        </w:tc>
      </w:tr>
      <w:tr w:rsidR="00CE58F0" w:rsidTr="00E87CD5">
        <w:trPr>
          <w:trHeight w:val="491"/>
        </w:trPr>
        <w:tc>
          <w:tcPr>
            <w:tcW w:w="3935" w:type="dxa"/>
          </w:tcPr>
          <w:p w:rsidR="00CE58F0" w:rsidRPr="00ED6F0C" w:rsidRDefault="00CE58F0" w:rsidP="00413B8D">
            <w:r w:rsidRPr="00ED6F0C">
              <w:t>NatWest Account</w:t>
            </w:r>
          </w:p>
        </w:tc>
        <w:tc>
          <w:tcPr>
            <w:tcW w:w="1560" w:type="dxa"/>
          </w:tcPr>
          <w:p w:rsidR="00CE58F0" w:rsidRPr="0077255D" w:rsidRDefault="00CE58F0" w:rsidP="00413B8D">
            <w:pPr>
              <w:jc w:val="center"/>
              <w:rPr>
                <w:highlight w:val="yellow"/>
              </w:rPr>
            </w:pPr>
            <w:r w:rsidRPr="000D2A66">
              <w:t>Baa1</w:t>
            </w:r>
          </w:p>
        </w:tc>
        <w:tc>
          <w:tcPr>
            <w:tcW w:w="1984" w:type="dxa"/>
          </w:tcPr>
          <w:p w:rsidR="00CE58F0" w:rsidRPr="001C77A7" w:rsidRDefault="00CE58F0" w:rsidP="00413B8D">
            <w:pPr>
              <w:jc w:val="right"/>
            </w:pPr>
            <w:r>
              <w:t>1.1</w:t>
            </w:r>
          </w:p>
        </w:tc>
        <w:tc>
          <w:tcPr>
            <w:tcW w:w="1984" w:type="dxa"/>
          </w:tcPr>
          <w:p w:rsidR="00CE58F0" w:rsidRDefault="00CE58F0" w:rsidP="00413B8D">
            <w:pPr>
              <w:jc w:val="right"/>
            </w:pPr>
            <w:r>
              <w:t>40.5</w:t>
            </w:r>
          </w:p>
        </w:tc>
      </w:tr>
      <w:tr w:rsidR="00CE58F0" w:rsidTr="00413B8D">
        <w:tc>
          <w:tcPr>
            <w:tcW w:w="3935" w:type="dxa"/>
          </w:tcPr>
          <w:p w:rsidR="00CE58F0" w:rsidRPr="0031114B" w:rsidRDefault="00CE58F0" w:rsidP="00413B8D">
            <w:pPr>
              <w:rPr>
                <w:b/>
              </w:rPr>
            </w:pPr>
            <w:r w:rsidRPr="0031114B">
              <w:rPr>
                <w:b/>
              </w:rPr>
              <w:t xml:space="preserve">Total </w:t>
            </w:r>
          </w:p>
        </w:tc>
        <w:tc>
          <w:tcPr>
            <w:tcW w:w="1560" w:type="dxa"/>
          </w:tcPr>
          <w:p w:rsidR="00CE58F0" w:rsidRDefault="00CE58F0" w:rsidP="00413B8D"/>
        </w:tc>
        <w:tc>
          <w:tcPr>
            <w:tcW w:w="1984" w:type="dxa"/>
          </w:tcPr>
          <w:p w:rsidR="00CE58F0" w:rsidRPr="00234983" w:rsidRDefault="00CE58F0" w:rsidP="00413B8D">
            <w:pPr>
              <w:jc w:val="right"/>
              <w:rPr>
                <w:b/>
              </w:rPr>
            </w:pPr>
            <w:r>
              <w:rPr>
                <w:b/>
              </w:rPr>
              <w:t>315.5</w:t>
            </w:r>
          </w:p>
        </w:tc>
        <w:tc>
          <w:tcPr>
            <w:tcW w:w="1984" w:type="dxa"/>
          </w:tcPr>
          <w:p w:rsidR="00CE58F0" w:rsidRDefault="00CE58F0" w:rsidP="00413B8D">
            <w:pPr>
              <w:jc w:val="right"/>
              <w:rPr>
                <w:b/>
              </w:rPr>
            </w:pPr>
            <w:r>
              <w:rPr>
                <w:b/>
              </w:rPr>
              <w:t>170.5</w:t>
            </w:r>
          </w:p>
          <w:p w:rsidR="00CE58F0" w:rsidRPr="00234983" w:rsidRDefault="00CE58F0" w:rsidP="00413B8D">
            <w:pPr>
              <w:jc w:val="right"/>
              <w:rPr>
                <w:b/>
              </w:rPr>
            </w:pPr>
          </w:p>
        </w:tc>
      </w:tr>
      <w:tr w:rsidR="00E87CD5" w:rsidTr="00413B8D">
        <w:tc>
          <w:tcPr>
            <w:tcW w:w="3935" w:type="dxa"/>
          </w:tcPr>
          <w:p w:rsidR="00E87CD5" w:rsidRPr="0031114B" w:rsidRDefault="00E87CD5" w:rsidP="00413B8D">
            <w:pPr>
              <w:rPr>
                <w:b/>
              </w:rPr>
            </w:pPr>
          </w:p>
        </w:tc>
        <w:tc>
          <w:tcPr>
            <w:tcW w:w="1560" w:type="dxa"/>
          </w:tcPr>
          <w:p w:rsidR="00E87CD5" w:rsidRDefault="00E87CD5" w:rsidP="00413B8D"/>
        </w:tc>
        <w:tc>
          <w:tcPr>
            <w:tcW w:w="1984" w:type="dxa"/>
          </w:tcPr>
          <w:p w:rsidR="00E87CD5" w:rsidRDefault="00E87CD5" w:rsidP="00413B8D">
            <w:pPr>
              <w:jc w:val="right"/>
              <w:rPr>
                <w:b/>
              </w:rPr>
            </w:pPr>
          </w:p>
        </w:tc>
        <w:tc>
          <w:tcPr>
            <w:tcW w:w="1984" w:type="dxa"/>
          </w:tcPr>
          <w:p w:rsidR="00E87CD5" w:rsidRDefault="00E87CD5" w:rsidP="00413B8D">
            <w:pPr>
              <w:jc w:val="right"/>
              <w:rPr>
                <w:b/>
              </w:rPr>
            </w:pPr>
          </w:p>
        </w:tc>
      </w:tr>
    </w:tbl>
    <w:p w:rsidR="00CE58F0" w:rsidRPr="00446169" w:rsidRDefault="00CE58F0" w:rsidP="00CE58F0">
      <w:pPr>
        <w:ind w:firstLine="709"/>
        <w:rPr>
          <w:b/>
        </w:rPr>
      </w:pPr>
      <w:r w:rsidRPr="00446169">
        <w:rPr>
          <w:b/>
        </w:rPr>
        <w:t>Liquidity risks</w:t>
      </w:r>
    </w:p>
    <w:p w:rsidR="00CE58F0" w:rsidRDefault="00CE58F0" w:rsidP="00CE58F0">
      <w:pPr>
        <w:ind w:left="709"/>
      </w:pPr>
    </w:p>
    <w:p w:rsidR="00CE58F0" w:rsidRDefault="00CE58F0" w:rsidP="00CE58F0">
      <w:pPr>
        <w:ind w:left="709"/>
      </w:pPr>
      <w:r>
        <w:t xml:space="preserve">Liquidity risk represents the risk that the Fund will not be able to meet its financial obligations as they fall due.  The Fund therefore takes steps to ensure that there are adequate cash resources to meet its commitments. </w:t>
      </w:r>
    </w:p>
    <w:p w:rsidR="00CE58F0" w:rsidRDefault="00CE58F0" w:rsidP="00CE58F0">
      <w:pPr>
        <w:ind w:left="709"/>
      </w:pPr>
    </w:p>
    <w:p w:rsidR="00CE58F0" w:rsidRDefault="00CE58F0" w:rsidP="00CE58F0">
      <w:pPr>
        <w:ind w:left="709"/>
      </w:pPr>
      <w:r>
        <w:t xml:space="preserve">The Fund has immediate access to its cash holdings. </w:t>
      </w:r>
    </w:p>
    <w:p w:rsidR="00CE58F0" w:rsidRDefault="00CE58F0" w:rsidP="00CE58F0">
      <w:pPr>
        <w:ind w:left="709"/>
      </w:pPr>
    </w:p>
    <w:p w:rsidR="00CE58F0" w:rsidRDefault="00CE58F0" w:rsidP="00CE58F0">
      <w:pPr>
        <w:ind w:left="709"/>
      </w:pPr>
      <w:r>
        <w:t xml:space="preserve">Management prepares periodic cash flow forecasts to understand and manage the timing of the Fund's cash flow.  The appropriate strategic level of cash balances to be held forms part of the Funds investment strategy. </w:t>
      </w:r>
    </w:p>
    <w:p w:rsidR="00CE58F0" w:rsidRDefault="00CE58F0" w:rsidP="00CE58F0">
      <w:pPr>
        <w:ind w:left="709"/>
      </w:pPr>
    </w:p>
    <w:p w:rsidR="00CE58F0" w:rsidRDefault="00CE58F0" w:rsidP="00CE58F0">
      <w:pPr>
        <w:ind w:left="709"/>
      </w:pPr>
      <w:r>
        <w:t xml:space="preserve">All financial liabilities at 31 March 2014 are due within the one year. </w:t>
      </w:r>
    </w:p>
    <w:p w:rsidR="00CE58F0" w:rsidRDefault="00CE58F0" w:rsidP="00CE58F0">
      <w:pPr>
        <w:ind w:left="709"/>
      </w:pPr>
    </w:p>
    <w:p w:rsidR="00CE58F0" w:rsidRPr="00446169" w:rsidRDefault="00CE58F0" w:rsidP="00CE58F0">
      <w:pPr>
        <w:ind w:firstLine="709"/>
        <w:rPr>
          <w:b/>
        </w:rPr>
      </w:pPr>
      <w:r w:rsidRPr="00446169">
        <w:rPr>
          <w:b/>
        </w:rPr>
        <w:t xml:space="preserve">Refinancing risk </w:t>
      </w:r>
    </w:p>
    <w:p w:rsidR="00CE58F0" w:rsidRDefault="00CE58F0" w:rsidP="00CE58F0">
      <w:pPr>
        <w:ind w:left="709"/>
        <w:rPr>
          <w:b/>
        </w:rPr>
      </w:pPr>
    </w:p>
    <w:p w:rsidR="00CE58F0" w:rsidRDefault="00CE58F0" w:rsidP="00CE58F0">
      <w:pPr>
        <w:ind w:left="709"/>
      </w:pPr>
      <w:r>
        <w:t xml:space="preserve">The Fund does not have any financial instruments that have a refinancing risk as part of its treasury management and investment strategies. </w:t>
      </w:r>
    </w:p>
    <w:p w:rsidR="00CE58F0" w:rsidRDefault="00CE58F0" w:rsidP="00CE58F0">
      <w:pPr>
        <w:ind w:left="709"/>
      </w:pPr>
    </w:p>
    <w:p w:rsidR="00CE58F0" w:rsidRDefault="00CE58F0" w:rsidP="00CE58F0">
      <w:pPr>
        <w:ind w:left="709"/>
      </w:pPr>
    </w:p>
    <w:p w:rsidR="00CE58F0" w:rsidRPr="0023630F" w:rsidRDefault="00CE58F0" w:rsidP="00CE58F0">
      <w:pPr>
        <w:numPr>
          <w:ilvl w:val="0"/>
          <w:numId w:val="2"/>
        </w:numPr>
        <w:tabs>
          <w:tab w:val="clear" w:pos="720"/>
          <w:tab w:val="num" w:pos="709"/>
        </w:tabs>
        <w:spacing w:after="120"/>
        <w:ind w:left="862"/>
        <w:rPr>
          <w:szCs w:val="24"/>
        </w:rPr>
      </w:pPr>
      <w:r>
        <w:rPr>
          <w:b/>
          <w:szCs w:val="24"/>
        </w:rPr>
        <w:t>A</w:t>
      </w:r>
      <w:r w:rsidRPr="00DB3FF9">
        <w:rPr>
          <w:b/>
          <w:szCs w:val="24"/>
        </w:rPr>
        <w:t>dditional Voluntary Contributions (AVC’s)</w:t>
      </w:r>
    </w:p>
    <w:p w:rsidR="00CE58F0" w:rsidRDefault="00CE58F0" w:rsidP="00CE58F0">
      <w:pPr>
        <w:pStyle w:val="BodyTextIndent"/>
        <w:tabs>
          <w:tab w:val="clear" w:pos="1080"/>
          <w:tab w:val="left" w:pos="709"/>
        </w:tabs>
        <w:spacing w:after="0"/>
        <w:ind w:left="709"/>
        <w:rPr>
          <w:szCs w:val="24"/>
        </w:rPr>
      </w:pPr>
      <w:r w:rsidRPr="00166665">
        <w:rPr>
          <w:szCs w:val="24"/>
        </w:rPr>
        <w:t>Members participating in these AVC arrangements each receive an annual statement confirming the amounts held in their account and the movements during the year.  A summary of the information provided by Equitable Life and Prudential is shown below.  (This summary has not been subject to Audit and the Pension Fund relies on the individual contributors to check deductions made on their behalf are accurately reflected in the statements provided by the AVC providers).  The figures relate to the financial year 1 April 20</w:t>
      </w:r>
      <w:r>
        <w:rPr>
          <w:szCs w:val="24"/>
        </w:rPr>
        <w:t>13</w:t>
      </w:r>
      <w:r w:rsidRPr="00166665">
        <w:rPr>
          <w:szCs w:val="24"/>
        </w:rPr>
        <w:t xml:space="preserve"> to 31 March 201</w:t>
      </w:r>
      <w:r>
        <w:rPr>
          <w:szCs w:val="24"/>
        </w:rPr>
        <w:t xml:space="preserve">4 for Prudential and </w:t>
      </w:r>
      <w:r w:rsidRPr="00166665">
        <w:rPr>
          <w:szCs w:val="24"/>
        </w:rPr>
        <w:t>1 September 20</w:t>
      </w:r>
      <w:r>
        <w:rPr>
          <w:szCs w:val="24"/>
        </w:rPr>
        <w:t xml:space="preserve">12 </w:t>
      </w:r>
      <w:r w:rsidRPr="00166665">
        <w:rPr>
          <w:szCs w:val="24"/>
        </w:rPr>
        <w:t>to 31 August 20</w:t>
      </w:r>
      <w:r>
        <w:rPr>
          <w:szCs w:val="24"/>
        </w:rPr>
        <w:t>13</w:t>
      </w:r>
      <w:r w:rsidRPr="00166665">
        <w:rPr>
          <w:szCs w:val="24"/>
        </w:rPr>
        <w:t xml:space="preserve"> for Equitable Life</w:t>
      </w:r>
      <w:r>
        <w:rPr>
          <w:szCs w:val="24"/>
        </w:rPr>
        <w:t xml:space="preserve"> and are not included in the Pension Fund accounts in accordance with Regulations 5(2)(c) of the Pension Scheme (Management and Investment of Funds) Regulations 1998.</w:t>
      </w:r>
    </w:p>
    <w:p w:rsidR="00E87CD5" w:rsidRDefault="00E87CD5" w:rsidP="00CE58F0">
      <w:pPr>
        <w:pStyle w:val="BodyTextIndent"/>
        <w:tabs>
          <w:tab w:val="clear" w:pos="1080"/>
          <w:tab w:val="left" w:pos="709"/>
        </w:tabs>
        <w:spacing w:after="0"/>
        <w:ind w:left="709"/>
        <w:rPr>
          <w:b/>
          <w:szCs w:val="24"/>
        </w:rPr>
      </w:pPr>
    </w:p>
    <w:p w:rsidR="00BE7D70" w:rsidRDefault="00BE7D70" w:rsidP="00CE58F0">
      <w:pPr>
        <w:pStyle w:val="BodyTextIndent"/>
        <w:tabs>
          <w:tab w:val="clear" w:pos="1080"/>
          <w:tab w:val="left" w:pos="709"/>
        </w:tabs>
        <w:spacing w:after="0"/>
        <w:ind w:left="709"/>
        <w:rPr>
          <w:b/>
          <w:szCs w:val="24"/>
        </w:rPr>
      </w:pPr>
    </w:p>
    <w:p w:rsidR="00BE7D70" w:rsidRDefault="00BE7D70" w:rsidP="00CE58F0">
      <w:pPr>
        <w:pStyle w:val="BodyTextIndent"/>
        <w:tabs>
          <w:tab w:val="clear" w:pos="1080"/>
          <w:tab w:val="left" w:pos="709"/>
        </w:tabs>
        <w:spacing w:after="0"/>
        <w:ind w:left="709"/>
        <w:rPr>
          <w:b/>
          <w:szCs w:val="24"/>
        </w:rPr>
      </w:pPr>
    </w:p>
    <w:p w:rsidR="00BE7D70" w:rsidRDefault="00BE7D70" w:rsidP="00CE58F0">
      <w:pPr>
        <w:pStyle w:val="BodyTextIndent"/>
        <w:tabs>
          <w:tab w:val="clear" w:pos="1080"/>
          <w:tab w:val="left" w:pos="709"/>
        </w:tabs>
        <w:spacing w:after="0"/>
        <w:ind w:left="709"/>
        <w:rPr>
          <w:b/>
          <w:szCs w:val="24"/>
        </w:rPr>
      </w:pPr>
    </w:p>
    <w:p w:rsidR="00BE7D70" w:rsidRDefault="00BE7D70" w:rsidP="00CE58F0">
      <w:pPr>
        <w:pStyle w:val="BodyTextIndent"/>
        <w:tabs>
          <w:tab w:val="clear" w:pos="1080"/>
          <w:tab w:val="left" w:pos="709"/>
        </w:tabs>
        <w:spacing w:after="0"/>
        <w:ind w:left="709"/>
        <w:rPr>
          <w:b/>
          <w:szCs w:val="24"/>
        </w:rPr>
      </w:pPr>
    </w:p>
    <w:p w:rsidR="00BE7D70" w:rsidRDefault="00BE7D70" w:rsidP="00CE58F0">
      <w:pPr>
        <w:pStyle w:val="BodyTextIndent"/>
        <w:tabs>
          <w:tab w:val="clear" w:pos="1080"/>
          <w:tab w:val="left" w:pos="709"/>
        </w:tabs>
        <w:spacing w:after="0"/>
        <w:ind w:left="709"/>
        <w:rPr>
          <w:b/>
          <w:szCs w:val="24"/>
        </w:rPr>
      </w:pPr>
    </w:p>
    <w:p w:rsidR="00BE7D70" w:rsidRDefault="00BE7D70" w:rsidP="00CE58F0">
      <w:pPr>
        <w:pStyle w:val="BodyTextIndent"/>
        <w:tabs>
          <w:tab w:val="clear" w:pos="1080"/>
          <w:tab w:val="left" w:pos="709"/>
        </w:tabs>
        <w:spacing w:after="0"/>
        <w:ind w:left="709"/>
        <w:rPr>
          <w:b/>
          <w:szCs w:val="24"/>
        </w:rPr>
      </w:pPr>
    </w:p>
    <w:p w:rsidR="00E87CD5" w:rsidRDefault="00E87CD5" w:rsidP="00CE58F0">
      <w:pPr>
        <w:pStyle w:val="BodyTextIndent"/>
        <w:tabs>
          <w:tab w:val="clear" w:pos="1080"/>
          <w:tab w:val="left" w:pos="709"/>
        </w:tabs>
        <w:spacing w:after="0"/>
        <w:ind w:left="709"/>
        <w:rPr>
          <w:b/>
          <w:szCs w:val="24"/>
        </w:rPr>
      </w:pPr>
    </w:p>
    <w:p w:rsidR="00783C33" w:rsidRDefault="00783C33" w:rsidP="00CE58F0">
      <w:pPr>
        <w:pStyle w:val="BodyTextIndent"/>
        <w:tabs>
          <w:tab w:val="clear" w:pos="1080"/>
          <w:tab w:val="left" w:pos="709"/>
        </w:tabs>
        <w:spacing w:after="0"/>
        <w:ind w:left="709"/>
        <w:rPr>
          <w:b/>
          <w:szCs w:val="24"/>
        </w:rPr>
      </w:pPr>
    </w:p>
    <w:p w:rsidR="00CE58F0" w:rsidRDefault="00CE58F0" w:rsidP="00CE58F0">
      <w:pPr>
        <w:pStyle w:val="BodyTextIndent"/>
        <w:tabs>
          <w:tab w:val="clear" w:pos="1080"/>
          <w:tab w:val="left" w:pos="709"/>
        </w:tabs>
        <w:spacing w:after="0"/>
        <w:ind w:left="709"/>
        <w:rPr>
          <w:szCs w:val="24"/>
        </w:rPr>
      </w:pPr>
      <w:r w:rsidRPr="00CD28F8">
        <w:rPr>
          <w:b/>
          <w:szCs w:val="24"/>
        </w:rPr>
        <w:t>Additional Voluntary Contributions</w:t>
      </w:r>
    </w:p>
    <w:tbl>
      <w:tblPr>
        <w:tblStyle w:val="TableGrid"/>
        <w:tblW w:w="101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843"/>
        <w:gridCol w:w="236"/>
        <w:gridCol w:w="1465"/>
        <w:gridCol w:w="236"/>
        <w:gridCol w:w="1283"/>
      </w:tblGrid>
      <w:tr w:rsidR="00CE58F0" w:rsidTr="00413B8D">
        <w:tc>
          <w:tcPr>
            <w:tcW w:w="5058" w:type="dxa"/>
          </w:tcPr>
          <w:p w:rsidR="00CE58F0" w:rsidRDefault="00CE58F0" w:rsidP="00413B8D">
            <w:pPr>
              <w:rPr>
                <w:b/>
                <w:szCs w:val="24"/>
              </w:rPr>
            </w:pPr>
          </w:p>
        </w:tc>
        <w:tc>
          <w:tcPr>
            <w:tcW w:w="1843" w:type="dxa"/>
          </w:tcPr>
          <w:p w:rsidR="00CE58F0" w:rsidRDefault="00CE58F0" w:rsidP="00413B8D">
            <w:pPr>
              <w:jc w:val="right"/>
              <w:rPr>
                <w:b/>
                <w:szCs w:val="24"/>
              </w:rPr>
            </w:pPr>
            <w:r>
              <w:rPr>
                <w:b/>
                <w:szCs w:val="24"/>
              </w:rPr>
              <w:t>Equitable Life</w:t>
            </w:r>
          </w:p>
          <w:p w:rsidR="00CE58F0" w:rsidRDefault="00CE58F0" w:rsidP="00413B8D">
            <w:pPr>
              <w:jc w:val="right"/>
              <w:rPr>
                <w:b/>
                <w:szCs w:val="24"/>
              </w:rPr>
            </w:pPr>
            <w:r>
              <w:rPr>
                <w:b/>
                <w:szCs w:val="24"/>
              </w:rPr>
              <w:t>£m</w:t>
            </w:r>
          </w:p>
        </w:tc>
        <w:tc>
          <w:tcPr>
            <w:tcW w:w="236" w:type="dxa"/>
            <w:tcBorders>
              <w:right w:val="single" w:sz="18" w:space="0" w:color="FFFFFF" w:themeColor="background1"/>
            </w:tcBorders>
          </w:tcPr>
          <w:p w:rsidR="00CE58F0" w:rsidRDefault="00CE58F0" w:rsidP="00413B8D">
            <w:pPr>
              <w:jc w:val="right"/>
              <w:rPr>
                <w:b/>
                <w:szCs w:val="24"/>
              </w:rPr>
            </w:pPr>
          </w:p>
        </w:tc>
        <w:tc>
          <w:tcPr>
            <w:tcW w:w="1465" w:type="dxa"/>
            <w:tcBorders>
              <w:left w:val="single" w:sz="18" w:space="0" w:color="FFFFFF" w:themeColor="background1"/>
            </w:tcBorders>
          </w:tcPr>
          <w:p w:rsidR="00CE58F0" w:rsidRPr="0040459C" w:rsidRDefault="00CE58F0" w:rsidP="00413B8D">
            <w:pPr>
              <w:jc w:val="right"/>
              <w:rPr>
                <w:b/>
                <w:szCs w:val="24"/>
              </w:rPr>
            </w:pPr>
            <w:r w:rsidRPr="0040459C">
              <w:rPr>
                <w:b/>
                <w:szCs w:val="24"/>
              </w:rPr>
              <w:t>Prudential</w:t>
            </w:r>
          </w:p>
          <w:p w:rsidR="00CE58F0" w:rsidRPr="0040459C" w:rsidRDefault="00CE58F0" w:rsidP="00413B8D">
            <w:pPr>
              <w:jc w:val="right"/>
              <w:rPr>
                <w:b/>
                <w:szCs w:val="24"/>
              </w:rPr>
            </w:pPr>
            <w:r w:rsidRPr="0040459C">
              <w:rPr>
                <w:b/>
                <w:szCs w:val="24"/>
              </w:rPr>
              <w:t>£m</w:t>
            </w:r>
          </w:p>
        </w:tc>
        <w:tc>
          <w:tcPr>
            <w:tcW w:w="236" w:type="dxa"/>
            <w:tcBorders>
              <w:right w:val="single" w:sz="18" w:space="0" w:color="FFFFFF" w:themeColor="background1"/>
            </w:tcBorders>
          </w:tcPr>
          <w:p w:rsidR="00CE58F0" w:rsidRDefault="00CE58F0" w:rsidP="00413B8D">
            <w:pPr>
              <w:jc w:val="right"/>
              <w:rPr>
                <w:b/>
                <w:szCs w:val="24"/>
              </w:rPr>
            </w:pPr>
          </w:p>
        </w:tc>
        <w:tc>
          <w:tcPr>
            <w:tcW w:w="1283" w:type="dxa"/>
            <w:tcBorders>
              <w:left w:val="single" w:sz="18" w:space="0" w:color="FFFFFF" w:themeColor="background1"/>
            </w:tcBorders>
          </w:tcPr>
          <w:p w:rsidR="00CE58F0" w:rsidRDefault="00CE58F0" w:rsidP="00413B8D">
            <w:pPr>
              <w:jc w:val="right"/>
              <w:rPr>
                <w:b/>
                <w:szCs w:val="24"/>
              </w:rPr>
            </w:pPr>
            <w:r>
              <w:rPr>
                <w:b/>
                <w:szCs w:val="24"/>
              </w:rPr>
              <w:t>Total</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Tr="00413B8D">
        <w:tc>
          <w:tcPr>
            <w:tcW w:w="5058" w:type="dxa"/>
          </w:tcPr>
          <w:p w:rsidR="00CE58F0" w:rsidRPr="00CD28F8" w:rsidRDefault="00CE58F0" w:rsidP="00413B8D">
            <w:pPr>
              <w:rPr>
                <w:szCs w:val="24"/>
              </w:rPr>
            </w:pPr>
            <w:r>
              <w:rPr>
                <w:szCs w:val="24"/>
              </w:rPr>
              <w:t>Value at the start of the year</w:t>
            </w:r>
          </w:p>
        </w:tc>
        <w:tc>
          <w:tcPr>
            <w:tcW w:w="1843" w:type="dxa"/>
          </w:tcPr>
          <w:p w:rsidR="00CE58F0" w:rsidRPr="00CD28F8" w:rsidRDefault="00CE58F0" w:rsidP="00413B8D">
            <w:pPr>
              <w:spacing w:after="120"/>
              <w:jc w:val="right"/>
              <w:rPr>
                <w:szCs w:val="24"/>
              </w:rPr>
            </w:pPr>
            <w:r>
              <w:rPr>
                <w:szCs w:val="24"/>
              </w:rPr>
              <w:t>1.1</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465" w:type="dxa"/>
            <w:tcBorders>
              <w:left w:val="single" w:sz="18" w:space="0" w:color="FFFFFF" w:themeColor="background1"/>
            </w:tcBorders>
          </w:tcPr>
          <w:p w:rsidR="00CE58F0" w:rsidRPr="0040459C" w:rsidRDefault="00CE58F0" w:rsidP="00413B8D">
            <w:pPr>
              <w:spacing w:after="120"/>
              <w:jc w:val="right"/>
              <w:rPr>
                <w:szCs w:val="24"/>
              </w:rPr>
            </w:pPr>
            <w:r w:rsidRPr="0040459C">
              <w:rPr>
                <w:szCs w:val="24"/>
              </w:rPr>
              <w:t>15.9</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283" w:type="dxa"/>
            <w:tcBorders>
              <w:left w:val="single" w:sz="18" w:space="0" w:color="FFFFFF" w:themeColor="background1"/>
            </w:tcBorders>
          </w:tcPr>
          <w:p w:rsidR="00CE58F0" w:rsidRPr="00CD28F8" w:rsidRDefault="00CE58F0" w:rsidP="00413B8D">
            <w:pPr>
              <w:spacing w:after="120"/>
              <w:jc w:val="right"/>
              <w:rPr>
                <w:szCs w:val="24"/>
              </w:rPr>
            </w:pPr>
            <w:r>
              <w:rPr>
                <w:szCs w:val="24"/>
              </w:rPr>
              <w:t>17.0</w:t>
            </w:r>
          </w:p>
        </w:tc>
      </w:tr>
      <w:tr w:rsidR="00CE58F0" w:rsidTr="00413B8D">
        <w:tc>
          <w:tcPr>
            <w:tcW w:w="5058" w:type="dxa"/>
          </w:tcPr>
          <w:p w:rsidR="00CE58F0" w:rsidRDefault="00CE58F0" w:rsidP="00413B8D">
            <w:pPr>
              <w:spacing w:after="120"/>
              <w:rPr>
                <w:szCs w:val="24"/>
              </w:rPr>
            </w:pPr>
            <w:r>
              <w:rPr>
                <w:szCs w:val="24"/>
              </w:rPr>
              <w:t>Income (incl. Contributions, bonuses, interest, transfers in)</w:t>
            </w:r>
          </w:p>
        </w:tc>
        <w:tc>
          <w:tcPr>
            <w:tcW w:w="1843" w:type="dxa"/>
          </w:tcPr>
          <w:p w:rsidR="00CE58F0" w:rsidRPr="00CD28F8" w:rsidRDefault="00CE58F0" w:rsidP="00413B8D">
            <w:pPr>
              <w:spacing w:after="120"/>
              <w:jc w:val="right"/>
              <w:rPr>
                <w:szCs w:val="24"/>
              </w:rPr>
            </w:pPr>
            <w:r>
              <w:rPr>
                <w:szCs w:val="24"/>
              </w:rPr>
              <w:t>0.1</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465" w:type="dxa"/>
            <w:tcBorders>
              <w:left w:val="single" w:sz="18" w:space="0" w:color="FFFFFF" w:themeColor="background1"/>
            </w:tcBorders>
          </w:tcPr>
          <w:p w:rsidR="00CE58F0" w:rsidRPr="0040459C" w:rsidRDefault="00CE58F0" w:rsidP="00413B8D">
            <w:pPr>
              <w:spacing w:after="120"/>
              <w:jc w:val="right"/>
              <w:rPr>
                <w:szCs w:val="24"/>
              </w:rPr>
            </w:pPr>
            <w:r w:rsidRPr="0040459C">
              <w:rPr>
                <w:szCs w:val="24"/>
              </w:rPr>
              <w:t>5.3</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283" w:type="dxa"/>
            <w:tcBorders>
              <w:left w:val="single" w:sz="18" w:space="0" w:color="FFFFFF" w:themeColor="background1"/>
            </w:tcBorders>
          </w:tcPr>
          <w:p w:rsidR="00CE58F0" w:rsidRPr="00CD28F8" w:rsidRDefault="00CE58F0" w:rsidP="00413B8D">
            <w:pPr>
              <w:spacing w:after="120"/>
              <w:jc w:val="right"/>
              <w:rPr>
                <w:szCs w:val="24"/>
              </w:rPr>
            </w:pPr>
            <w:r>
              <w:rPr>
                <w:szCs w:val="24"/>
              </w:rPr>
              <w:t>5.4</w:t>
            </w:r>
          </w:p>
        </w:tc>
      </w:tr>
      <w:tr w:rsidR="00CE58F0" w:rsidTr="00413B8D">
        <w:tc>
          <w:tcPr>
            <w:tcW w:w="5058" w:type="dxa"/>
          </w:tcPr>
          <w:p w:rsidR="00CE58F0" w:rsidRDefault="00CE58F0" w:rsidP="00413B8D">
            <w:pPr>
              <w:spacing w:after="120"/>
              <w:rPr>
                <w:szCs w:val="24"/>
              </w:rPr>
            </w:pPr>
            <w:r>
              <w:rPr>
                <w:szCs w:val="24"/>
              </w:rPr>
              <w:t>Expenditure (incl. Benefits, transfers out, change in market value)</w:t>
            </w:r>
          </w:p>
        </w:tc>
        <w:tc>
          <w:tcPr>
            <w:tcW w:w="1843" w:type="dxa"/>
            <w:tcBorders>
              <w:bottom w:val="single" w:sz="18" w:space="0" w:color="auto"/>
            </w:tcBorders>
          </w:tcPr>
          <w:p w:rsidR="00CE58F0" w:rsidRPr="00CD28F8" w:rsidRDefault="00CE58F0" w:rsidP="00413B8D">
            <w:pPr>
              <w:spacing w:after="120"/>
              <w:jc w:val="right"/>
              <w:rPr>
                <w:szCs w:val="24"/>
              </w:rPr>
            </w:pPr>
            <w:r>
              <w:rPr>
                <w:szCs w:val="24"/>
              </w:rPr>
              <w:t>(0.1)</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465" w:type="dxa"/>
            <w:tcBorders>
              <w:left w:val="single" w:sz="18" w:space="0" w:color="FFFFFF" w:themeColor="background1"/>
              <w:bottom w:val="single" w:sz="18" w:space="0" w:color="auto"/>
            </w:tcBorders>
          </w:tcPr>
          <w:p w:rsidR="00CE58F0" w:rsidRPr="0040459C" w:rsidRDefault="00CE58F0" w:rsidP="00413B8D">
            <w:pPr>
              <w:spacing w:after="120"/>
              <w:jc w:val="right"/>
              <w:rPr>
                <w:szCs w:val="24"/>
              </w:rPr>
            </w:pPr>
            <w:r w:rsidRPr="0040459C">
              <w:rPr>
                <w:szCs w:val="24"/>
              </w:rPr>
              <w:t>(1.4)</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283" w:type="dxa"/>
            <w:tcBorders>
              <w:left w:val="single" w:sz="18" w:space="0" w:color="FFFFFF" w:themeColor="background1"/>
              <w:bottom w:val="single" w:sz="18" w:space="0" w:color="auto"/>
            </w:tcBorders>
          </w:tcPr>
          <w:p w:rsidR="00CE58F0" w:rsidRPr="00CD28F8" w:rsidRDefault="00CE58F0" w:rsidP="00413B8D">
            <w:pPr>
              <w:spacing w:after="120"/>
              <w:jc w:val="right"/>
              <w:rPr>
                <w:szCs w:val="24"/>
              </w:rPr>
            </w:pPr>
            <w:r>
              <w:rPr>
                <w:szCs w:val="24"/>
              </w:rPr>
              <w:t>(1.5)</w:t>
            </w:r>
          </w:p>
        </w:tc>
      </w:tr>
      <w:tr w:rsidR="00CE58F0" w:rsidTr="00413B8D">
        <w:tc>
          <w:tcPr>
            <w:tcW w:w="5058" w:type="dxa"/>
          </w:tcPr>
          <w:p w:rsidR="00CE58F0" w:rsidRDefault="00CE58F0" w:rsidP="00413B8D">
            <w:pPr>
              <w:rPr>
                <w:szCs w:val="24"/>
              </w:rPr>
            </w:pPr>
            <w:r>
              <w:rPr>
                <w:szCs w:val="24"/>
              </w:rPr>
              <w:lastRenderedPageBreak/>
              <w:t>Value at the end of the year</w:t>
            </w:r>
          </w:p>
        </w:tc>
        <w:tc>
          <w:tcPr>
            <w:tcW w:w="1843" w:type="dxa"/>
            <w:tcBorders>
              <w:top w:val="single" w:sz="18" w:space="0" w:color="auto"/>
              <w:bottom w:val="single" w:sz="18" w:space="0" w:color="auto"/>
            </w:tcBorders>
          </w:tcPr>
          <w:p w:rsidR="00CE58F0" w:rsidRPr="00CD28F8" w:rsidRDefault="00CE58F0" w:rsidP="00413B8D">
            <w:pPr>
              <w:spacing w:after="120"/>
              <w:jc w:val="right"/>
              <w:rPr>
                <w:szCs w:val="24"/>
              </w:rPr>
            </w:pPr>
            <w:r>
              <w:rPr>
                <w:szCs w:val="24"/>
              </w:rPr>
              <w:t>1.1</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465" w:type="dxa"/>
            <w:tcBorders>
              <w:top w:val="single" w:sz="18" w:space="0" w:color="auto"/>
              <w:left w:val="single" w:sz="18" w:space="0" w:color="FFFFFF" w:themeColor="background1"/>
              <w:bottom w:val="single" w:sz="18" w:space="0" w:color="auto"/>
            </w:tcBorders>
          </w:tcPr>
          <w:p w:rsidR="00CE58F0" w:rsidRPr="0040459C" w:rsidRDefault="00CE58F0" w:rsidP="00413B8D">
            <w:pPr>
              <w:spacing w:after="120"/>
              <w:jc w:val="right"/>
              <w:rPr>
                <w:szCs w:val="24"/>
              </w:rPr>
            </w:pPr>
            <w:r w:rsidRPr="0040459C">
              <w:rPr>
                <w:szCs w:val="24"/>
              </w:rPr>
              <w:t>19.8</w:t>
            </w:r>
          </w:p>
        </w:tc>
        <w:tc>
          <w:tcPr>
            <w:tcW w:w="236" w:type="dxa"/>
            <w:tcBorders>
              <w:right w:val="single" w:sz="18" w:space="0" w:color="FFFFFF" w:themeColor="background1"/>
            </w:tcBorders>
          </w:tcPr>
          <w:p w:rsidR="00CE58F0" w:rsidRPr="00CD28F8" w:rsidRDefault="00CE58F0" w:rsidP="00413B8D">
            <w:pPr>
              <w:spacing w:after="120"/>
              <w:jc w:val="right"/>
              <w:rPr>
                <w:szCs w:val="24"/>
              </w:rPr>
            </w:pPr>
          </w:p>
        </w:tc>
        <w:tc>
          <w:tcPr>
            <w:tcW w:w="1283" w:type="dxa"/>
            <w:tcBorders>
              <w:top w:val="single" w:sz="18" w:space="0" w:color="auto"/>
              <w:left w:val="single" w:sz="18" w:space="0" w:color="FFFFFF" w:themeColor="background1"/>
              <w:bottom w:val="single" w:sz="18" w:space="0" w:color="auto"/>
            </w:tcBorders>
          </w:tcPr>
          <w:p w:rsidR="00CE58F0" w:rsidRPr="00CD28F8" w:rsidRDefault="00CE58F0" w:rsidP="00413B8D">
            <w:pPr>
              <w:spacing w:after="120"/>
              <w:jc w:val="right"/>
              <w:rPr>
                <w:szCs w:val="24"/>
              </w:rPr>
            </w:pPr>
            <w:r>
              <w:rPr>
                <w:szCs w:val="24"/>
              </w:rPr>
              <w:t>20.9</w:t>
            </w:r>
          </w:p>
        </w:tc>
      </w:tr>
    </w:tbl>
    <w:p w:rsidR="00CE58F0" w:rsidRDefault="00CE58F0" w:rsidP="00CE58F0">
      <w:pPr>
        <w:pStyle w:val="BodyTextIndent"/>
        <w:tabs>
          <w:tab w:val="clear" w:pos="1080"/>
          <w:tab w:val="left" w:pos="709"/>
        </w:tabs>
        <w:spacing w:after="0"/>
        <w:ind w:left="709"/>
        <w:rPr>
          <w:szCs w:val="24"/>
        </w:rPr>
      </w:pPr>
    </w:p>
    <w:p w:rsidR="00CE58F0" w:rsidRPr="00F75B5C" w:rsidRDefault="00CE58F0" w:rsidP="00CE58F0">
      <w:pPr>
        <w:numPr>
          <w:ilvl w:val="0"/>
          <w:numId w:val="2"/>
        </w:numPr>
        <w:tabs>
          <w:tab w:val="clear" w:pos="720"/>
          <w:tab w:val="num" w:pos="862"/>
        </w:tabs>
        <w:rPr>
          <w:szCs w:val="24"/>
        </w:rPr>
      </w:pPr>
      <w:r w:rsidRPr="00F75B5C">
        <w:rPr>
          <w:b/>
          <w:szCs w:val="24"/>
        </w:rPr>
        <w:t>Investment management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2013/14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2012/13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7A07AD" w:rsidTr="00413B8D">
        <w:tc>
          <w:tcPr>
            <w:tcW w:w="5058" w:type="dxa"/>
          </w:tcPr>
          <w:p w:rsidR="00CE58F0" w:rsidRPr="007A07AD" w:rsidRDefault="00CE58F0" w:rsidP="00413B8D">
            <w:pPr>
              <w:rPr>
                <w:szCs w:val="24"/>
              </w:rPr>
            </w:pPr>
            <w:r>
              <w:rPr>
                <w:szCs w:val="24"/>
              </w:rPr>
              <w:t>Administration, management and custody</w:t>
            </w:r>
          </w:p>
        </w:tc>
        <w:tc>
          <w:tcPr>
            <w:tcW w:w="1559" w:type="dxa"/>
          </w:tcPr>
          <w:p w:rsidR="00CE58F0" w:rsidRPr="007A07AD" w:rsidRDefault="00CE58F0" w:rsidP="00413B8D">
            <w:pPr>
              <w:jc w:val="right"/>
              <w:rPr>
                <w:szCs w:val="24"/>
              </w:rPr>
            </w:pPr>
            <w:r>
              <w:rPr>
                <w:szCs w:val="24"/>
              </w:rPr>
              <w:t>11.0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6.9</w:t>
            </w:r>
          </w:p>
        </w:tc>
      </w:tr>
      <w:tr w:rsidR="00CE58F0" w:rsidRPr="007A07AD" w:rsidTr="00413B8D">
        <w:tc>
          <w:tcPr>
            <w:tcW w:w="5058" w:type="dxa"/>
          </w:tcPr>
          <w:p w:rsidR="00CE58F0" w:rsidRDefault="00CE58F0" w:rsidP="00413B8D">
            <w:pPr>
              <w:rPr>
                <w:szCs w:val="24"/>
              </w:rPr>
            </w:pPr>
            <w:r>
              <w:rPr>
                <w:szCs w:val="24"/>
              </w:rPr>
              <w:t>Performance measurement service</w:t>
            </w:r>
          </w:p>
        </w:tc>
        <w:tc>
          <w:tcPr>
            <w:tcW w:w="1559" w:type="dxa"/>
          </w:tcPr>
          <w:p w:rsidR="00CE58F0" w:rsidRPr="007A07AD" w:rsidRDefault="00CE58F0" w:rsidP="00413B8D">
            <w:pPr>
              <w:jc w:val="right"/>
              <w:rPr>
                <w:szCs w:val="24"/>
              </w:rPr>
            </w:pPr>
            <w:r>
              <w:rPr>
                <w:szCs w:val="24"/>
              </w:rPr>
              <w:t>0.1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0.2</w:t>
            </w:r>
          </w:p>
        </w:tc>
      </w:tr>
      <w:tr w:rsidR="00CE58F0" w:rsidRPr="007A07AD" w:rsidTr="00413B8D">
        <w:tc>
          <w:tcPr>
            <w:tcW w:w="5058" w:type="dxa"/>
          </w:tcPr>
          <w:p w:rsidR="00CE58F0" w:rsidRDefault="00CE58F0" w:rsidP="00413B8D">
            <w:pPr>
              <w:rPr>
                <w:szCs w:val="24"/>
              </w:rPr>
            </w:pPr>
            <w:r>
              <w:rPr>
                <w:szCs w:val="24"/>
              </w:rPr>
              <w:t>Other advisory fees</w:t>
            </w:r>
          </w:p>
        </w:tc>
        <w:tc>
          <w:tcPr>
            <w:tcW w:w="1559" w:type="dxa"/>
            <w:tcBorders>
              <w:bottom w:val="single" w:sz="18" w:space="0" w:color="auto"/>
            </w:tcBorders>
          </w:tcPr>
          <w:p w:rsidR="00CE58F0" w:rsidRPr="007A07AD" w:rsidRDefault="00CE58F0" w:rsidP="00413B8D">
            <w:pPr>
              <w:jc w:val="right"/>
              <w:rPr>
                <w:szCs w:val="24"/>
              </w:rPr>
            </w:pPr>
            <w:r>
              <w:rPr>
                <w:szCs w:val="24"/>
              </w:rPr>
              <w:t>0.2</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0.1</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11.3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7.2</w:t>
            </w:r>
          </w:p>
        </w:tc>
      </w:tr>
    </w:tbl>
    <w:p w:rsidR="00CE58F0" w:rsidRDefault="00CE58F0" w:rsidP="00CE58F0">
      <w:pPr>
        <w:pStyle w:val="Header"/>
        <w:rPr>
          <w:szCs w:val="24"/>
        </w:rPr>
      </w:pPr>
    </w:p>
    <w:p w:rsidR="00CE58F0" w:rsidRPr="00F75B5C" w:rsidRDefault="00CE58F0" w:rsidP="00CE58F0">
      <w:pPr>
        <w:numPr>
          <w:ilvl w:val="0"/>
          <w:numId w:val="2"/>
        </w:numPr>
        <w:tabs>
          <w:tab w:val="clear" w:pos="720"/>
          <w:tab w:val="num" w:pos="862"/>
        </w:tabs>
        <w:rPr>
          <w:b/>
          <w:szCs w:val="24"/>
        </w:rPr>
      </w:pPr>
      <w:r w:rsidRPr="00F75B5C">
        <w:rPr>
          <w:b/>
          <w:szCs w:val="24"/>
        </w:rPr>
        <w:t>Current assets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7A07AD" w:rsidTr="00413B8D">
        <w:tc>
          <w:tcPr>
            <w:tcW w:w="5058" w:type="dxa"/>
          </w:tcPr>
          <w:p w:rsidR="00CE58F0" w:rsidRPr="007A07AD" w:rsidRDefault="00CE58F0" w:rsidP="00413B8D">
            <w:pPr>
              <w:rPr>
                <w:szCs w:val="24"/>
              </w:rPr>
            </w:pPr>
            <w:r>
              <w:rPr>
                <w:szCs w:val="24"/>
              </w:rPr>
              <w:t>Contributions due from: Employers</w:t>
            </w:r>
          </w:p>
        </w:tc>
        <w:tc>
          <w:tcPr>
            <w:tcW w:w="1559" w:type="dxa"/>
          </w:tcPr>
          <w:p w:rsidR="00CE58F0" w:rsidRPr="007A07AD" w:rsidRDefault="00CE58F0" w:rsidP="00413B8D">
            <w:pPr>
              <w:jc w:val="right"/>
              <w:rPr>
                <w:szCs w:val="24"/>
              </w:rPr>
            </w:pPr>
            <w:r>
              <w:rPr>
                <w:szCs w:val="24"/>
              </w:rPr>
              <w:t>14.4</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12.5</w:t>
            </w:r>
          </w:p>
        </w:tc>
      </w:tr>
      <w:tr w:rsidR="00CE58F0" w:rsidRPr="007A07AD" w:rsidTr="00413B8D">
        <w:tc>
          <w:tcPr>
            <w:tcW w:w="5058" w:type="dxa"/>
          </w:tcPr>
          <w:p w:rsidR="00CE58F0" w:rsidRDefault="00CE58F0" w:rsidP="00413B8D">
            <w:pPr>
              <w:rPr>
                <w:szCs w:val="24"/>
              </w:rPr>
            </w:pPr>
            <w:r>
              <w:rPr>
                <w:szCs w:val="24"/>
              </w:rPr>
              <w:t xml:space="preserve">                                     : Members</w:t>
            </w:r>
          </w:p>
        </w:tc>
        <w:tc>
          <w:tcPr>
            <w:tcW w:w="1559" w:type="dxa"/>
          </w:tcPr>
          <w:p w:rsidR="00CE58F0" w:rsidRPr="007A07AD" w:rsidRDefault="00CE58F0" w:rsidP="00413B8D">
            <w:pPr>
              <w:jc w:val="right"/>
              <w:rPr>
                <w:szCs w:val="24"/>
              </w:rPr>
            </w:pPr>
            <w:r>
              <w:rPr>
                <w:szCs w:val="24"/>
              </w:rPr>
              <w:t>4.4</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4.4</w:t>
            </w:r>
          </w:p>
        </w:tc>
      </w:tr>
      <w:tr w:rsidR="00CE58F0" w:rsidRPr="007A07AD" w:rsidTr="00E87CD5">
        <w:tc>
          <w:tcPr>
            <w:tcW w:w="5058" w:type="dxa"/>
          </w:tcPr>
          <w:p w:rsidR="00CE58F0" w:rsidRDefault="00CE58F0" w:rsidP="00413B8D">
            <w:pPr>
              <w:rPr>
                <w:szCs w:val="24"/>
              </w:rPr>
            </w:pPr>
            <w:r>
              <w:rPr>
                <w:szCs w:val="24"/>
              </w:rPr>
              <w:t>Debtors: Bodies external to general          government</w:t>
            </w:r>
          </w:p>
        </w:tc>
        <w:tc>
          <w:tcPr>
            <w:tcW w:w="1559" w:type="dxa"/>
            <w:tcBorders>
              <w:bottom w:val="single" w:sz="18" w:space="0" w:color="auto"/>
            </w:tcBorders>
          </w:tcPr>
          <w:p w:rsidR="00CE58F0" w:rsidRPr="007A07AD" w:rsidRDefault="00CE58F0" w:rsidP="00413B8D">
            <w:pPr>
              <w:jc w:val="right"/>
              <w:rPr>
                <w:szCs w:val="24"/>
              </w:rPr>
            </w:pPr>
            <w:r>
              <w:rPr>
                <w:szCs w:val="24"/>
              </w:rPr>
              <w:t>9.5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bottom w:val="single" w:sz="18" w:space="0" w:color="auto"/>
            </w:tcBorders>
          </w:tcPr>
          <w:p w:rsidR="00CE58F0" w:rsidRPr="007A07AD" w:rsidRDefault="00CE58F0" w:rsidP="00413B8D">
            <w:pPr>
              <w:jc w:val="right"/>
              <w:rPr>
                <w:szCs w:val="24"/>
              </w:rPr>
            </w:pPr>
            <w:r>
              <w:rPr>
                <w:szCs w:val="24"/>
              </w:rPr>
              <w:t>14.8</w:t>
            </w:r>
          </w:p>
        </w:tc>
      </w:tr>
      <w:tr w:rsidR="00CE58F0" w:rsidRPr="00E87CD5" w:rsidTr="00E87CD5">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28.3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31.7</w:t>
            </w:r>
          </w:p>
        </w:tc>
      </w:tr>
      <w:tr w:rsidR="00E87CD5" w:rsidRPr="007A07AD" w:rsidTr="00E87CD5">
        <w:tc>
          <w:tcPr>
            <w:tcW w:w="5058" w:type="dxa"/>
          </w:tcPr>
          <w:p w:rsidR="00E87CD5" w:rsidRDefault="00E87CD5" w:rsidP="00413B8D">
            <w:pPr>
              <w:rPr>
                <w:szCs w:val="24"/>
              </w:rPr>
            </w:pPr>
          </w:p>
        </w:tc>
        <w:tc>
          <w:tcPr>
            <w:tcW w:w="1559" w:type="dxa"/>
            <w:tcBorders>
              <w:top w:val="single" w:sz="18" w:space="0" w:color="auto"/>
            </w:tcBorders>
          </w:tcPr>
          <w:p w:rsidR="00E87CD5" w:rsidRDefault="00E87CD5" w:rsidP="00413B8D">
            <w:pPr>
              <w:jc w:val="right"/>
              <w:rPr>
                <w:szCs w:val="24"/>
              </w:rPr>
            </w:pPr>
          </w:p>
        </w:tc>
        <w:tc>
          <w:tcPr>
            <w:tcW w:w="430" w:type="dxa"/>
          </w:tcPr>
          <w:p w:rsidR="00E87CD5" w:rsidRPr="007A07AD" w:rsidRDefault="00E87CD5" w:rsidP="00413B8D">
            <w:pPr>
              <w:jc w:val="right"/>
              <w:rPr>
                <w:szCs w:val="24"/>
              </w:rPr>
            </w:pPr>
          </w:p>
        </w:tc>
        <w:tc>
          <w:tcPr>
            <w:tcW w:w="1696" w:type="dxa"/>
            <w:tcBorders>
              <w:top w:val="single" w:sz="18" w:space="0" w:color="auto"/>
            </w:tcBorders>
          </w:tcPr>
          <w:p w:rsidR="00E87CD5" w:rsidRDefault="00E87CD5" w:rsidP="00413B8D">
            <w:pPr>
              <w:jc w:val="right"/>
              <w:rPr>
                <w:szCs w:val="24"/>
              </w:rPr>
            </w:pPr>
          </w:p>
        </w:tc>
      </w:tr>
    </w:tbl>
    <w:p w:rsidR="00CE58F0" w:rsidRDefault="00CE58F0" w:rsidP="00CE58F0">
      <w:pPr>
        <w:rPr>
          <w:b/>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7A07AD" w:rsidTr="00413B8D">
        <w:tc>
          <w:tcPr>
            <w:tcW w:w="5058" w:type="dxa"/>
          </w:tcPr>
          <w:p w:rsidR="00CE58F0" w:rsidRDefault="00CE58F0" w:rsidP="00413B8D">
            <w:pPr>
              <w:rPr>
                <w:szCs w:val="24"/>
              </w:rPr>
            </w:pPr>
            <w:r>
              <w:rPr>
                <w:szCs w:val="24"/>
              </w:rPr>
              <w:t>Other local authorities</w:t>
            </w:r>
          </w:p>
        </w:tc>
        <w:tc>
          <w:tcPr>
            <w:tcW w:w="1559" w:type="dxa"/>
          </w:tcPr>
          <w:p w:rsidR="00CE58F0" w:rsidRPr="007A07AD" w:rsidRDefault="00CE58F0" w:rsidP="00413B8D">
            <w:pPr>
              <w:jc w:val="right"/>
              <w:rPr>
                <w:szCs w:val="24"/>
              </w:rPr>
            </w:pPr>
            <w:r>
              <w:rPr>
                <w:szCs w:val="24"/>
              </w:rPr>
              <w:t>15.5</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18.9</w:t>
            </w:r>
          </w:p>
        </w:tc>
      </w:tr>
      <w:tr w:rsidR="00CE58F0" w:rsidRPr="007A07AD" w:rsidTr="00413B8D">
        <w:tc>
          <w:tcPr>
            <w:tcW w:w="5058" w:type="dxa"/>
          </w:tcPr>
          <w:p w:rsidR="00CE58F0" w:rsidRDefault="00CE58F0" w:rsidP="00413B8D">
            <w:pPr>
              <w:rPr>
                <w:szCs w:val="24"/>
              </w:rPr>
            </w:pPr>
            <w:r>
              <w:rPr>
                <w:szCs w:val="24"/>
              </w:rPr>
              <w:t>NHS bodies</w:t>
            </w:r>
          </w:p>
        </w:tc>
        <w:tc>
          <w:tcPr>
            <w:tcW w:w="1559" w:type="dxa"/>
          </w:tcPr>
          <w:p w:rsidR="00CE58F0" w:rsidRPr="007A07AD" w:rsidRDefault="00CE58F0" w:rsidP="00413B8D">
            <w:pPr>
              <w:jc w:val="right"/>
              <w:rPr>
                <w:szCs w:val="24"/>
              </w:rPr>
            </w:pPr>
            <w:r>
              <w:rPr>
                <w:szCs w:val="24"/>
              </w:rPr>
              <w:t>0.1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0.1</w:t>
            </w:r>
          </w:p>
        </w:tc>
      </w:tr>
      <w:tr w:rsidR="00CE58F0" w:rsidRPr="007A07AD" w:rsidTr="00413B8D">
        <w:tc>
          <w:tcPr>
            <w:tcW w:w="5058" w:type="dxa"/>
          </w:tcPr>
          <w:p w:rsidR="00CE58F0" w:rsidRDefault="00CE58F0" w:rsidP="00413B8D">
            <w:pPr>
              <w:rPr>
                <w:szCs w:val="24"/>
              </w:rPr>
            </w:pPr>
            <w:r>
              <w:rPr>
                <w:szCs w:val="24"/>
              </w:rPr>
              <w:t>Public corporations and trading funds</w:t>
            </w:r>
          </w:p>
        </w:tc>
        <w:tc>
          <w:tcPr>
            <w:tcW w:w="1559" w:type="dxa"/>
          </w:tcPr>
          <w:p w:rsidR="00CE58F0" w:rsidRPr="007A07AD" w:rsidRDefault="00CE58F0" w:rsidP="00413B8D">
            <w:pPr>
              <w:jc w:val="right"/>
              <w:rPr>
                <w:szCs w:val="24"/>
              </w:rPr>
            </w:pPr>
            <w:r>
              <w:rPr>
                <w:szCs w:val="24"/>
              </w:rPr>
              <w:t>0.1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0.1</w:t>
            </w:r>
          </w:p>
        </w:tc>
      </w:tr>
      <w:tr w:rsidR="00CE58F0" w:rsidRPr="007A07AD" w:rsidTr="00413B8D">
        <w:tc>
          <w:tcPr>
            <w:tcW w:w="5058" w:type="dxa"/>
          </w:tcPr>
          <w:p w:rsidR="00CE58F0" w:rsidRDefault="00CE58F0" w:rsidP="00413B8D">
            <w:pPr>
              <w:rPr>
                <w:szCs w:val="24"/>
              </w:rPr>
            </w:pPr>
            <w:r>
              <w:rPr>
                <w:szCs w:val="24"/>
              </w:rPr>
              <w:t>Other entities and individuals</w:t>
            </w:r>
          </w:p>
        </w:tc>
        <w:tc>
          <w:tcPr>
            <w:tcW w:w="1559" w:type="dxa"/>
          </w:tcPr>
          <w:p w:rsidR="00CE58F0" w:rsidRPr="007A07AD" w:rsidRDefault="00CE58F0" w:rsidP="00413B8D">
            <w:pPr>
              <w:jc w:val="right"/>
              <w:rPr>
                <w:szCs w:val="24"/>
              </w:rPr>
            </w:pPr>
            <w:r>
              <w:rPr>
                <w:szCs w:val="24"/>
              </w:rPr>
              <w:t>12.6</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12.6</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28.3</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31.7</w:t>
            </w:r>
          </w:p>
        </w:tc>
      </w:tr>
    </w:tbl>
    <w:p w:rsidR="00E87CD5" w:rsidRDefault="00E87CD5" w:rsidP="00CE58F0">
      <w:pPr>
        <w:pStyle w:val="BodyTextIndent"/>
        <w:spacing w:after="0"/>
        <w:ind w:left="709"/>
        <w:rPr>
          <w:szCs w:val="24"/>
        </w:rPr>
      </w:pPr>
    </w:p>
    <w:p w:rsidR="00CE58F0" w:rsidRPr="00F75B5C" w:rsidRDefault="00CE58F0" w:rsidP="00CE58F0">
      <w:pPr>
        <w:numPr>
          <w:ilvl w:val="0"/>
          <w:numId w:val="2"/>
        </w:numPr>
        <w:tabs>
          <w:tab w:val="clear" w:pos="720"/>
          <w:tab w:val="num" w:pos="862"/>
        </w:tabs>
        <w:rPr>
          <w:b/>
          <w:szCs w:val="24"/>
        </w:rPr>
      </w:pPr>
      <w:r w:rsidRPr="00F75B5C">
        <w:rPr>
          <w:b/>
          <w:szCs w:val="24"/>
        </w:rPr>
        <w:t>Current liabilities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7A07AD" w:rsidTr="00413B8D">
        <w:tc>
          <w:tcPr>
            <w:tcW w:w="5058" w:type="dxa"/>
          </w:tcPr>
          <w:p w:rsidR="00CE58F0" w:rsidRPr="007A07AD" w:rsidRDefault="00CE58F0" w:rsidP="00413B8D">
            <w:pPr>
              <w:rPr>
                <w:szCs w:val="24"/>
              </w:rPr>
            </w:pPr>
            <w:r>
              <w:rPr>
                <w:szCs w:val="24"/>
              </w:rPr>
              <w:t>Unpaid benefits</w:t>
            </w:r>
          </w:p>
        </w:tc>
        <w:tc>
          <w:tcPr>
            <w:tcW w:w="1559" w:type="dxa"/>
          </w:tcPr>
          <w:p w:rsidR="00CE58F0" w:rsidRPr="007A07AD" w:rsidRDefault="00CE58F0" w:rsidP="00413B8D">
            <w:pPr>
              <w:jc w:val="right"/>
              <w:rPr>
                <w:szCs w:val="24"/>
              </w:rPr>
            </w:pPr>
            <w:r>
              <w:rPr>
                <w:szCs w:val="24"/>
              </w:rPr>
              <w:t>0.6</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2.3</w:t>
            </w:r>
          </w:p>
        </w:tc>
      </w:tr>
      <w:tr w:rsidR="00CE58F0" w:rsidRPr="007A07AD" w:rsidTr="00413B8D">
        <w:tc>
          <w:tcPr>
            <w:tcW w:w="5058" w:type="dxa"/>
          </w:tcPr>
          <w:p w:rsidR="00CE58F0" w:rsidRDefault="00CE58F0" w:rsidP="00413B8D">
            <w:pPr>
              <w:rPr>
                <w:szCs w:val="24"/>
              </w:rPr>
            </w:pPr>
            <w:r>
              <w:rPr>
                <w:szCs w:val="24"/>
              </w:rPr>
              <w:t>Accrued expenses</w:t>
            </w:r>
          </w:p>
        </w:tc>
        <w:tc>
          <w:tcPr>
            <w:tcW w:w="1559" w:type="dxa"/>
          </w:tcPr>
          <w:p w:rsidR="00CE58F0" w:rsidRPr="007A07AD" w:rsidRDefault="00CE58F0" w:rsidP="00413B8D">
            <w:pPr>
              <w:jc w:val="right"/>
              <w:rPr>
                <w:szCs w:val="24"/>
              </w:rPr>
            </w:pPr>
            <w:r>
              <w:rPr>
                <w:szCs w:val="24"/>
              </w:rPr>
              <w:t>11.1</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7.4</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11.7</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9.7</w:t>
            </w:r>
          </w:p>
        </w:tc>
      </w:tr>
    </w:tbl>
    <w:p w:rsidR="00CE58F0" w:rsidRDefault="00CE58F0" w:rsidP="00CE58F0">
      <w:pPr>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CE58F0" w:rsidTr="00413B8D">
        <w:tc>
          <w:tcPr>
            <w:tcW w:w="5058" w:type="dxa"/>
          </w:tcPr>
          <w:p w:rsidR="00CE58F0" w:rsidRDefault="00CE58F0" w:rsidP="00413B8D">
            <w:pPr>
              <w:rPr>
                <w:b/>
                <w:szCs w:val="24"/>
              </w:rPr>
            </w:pPr>
          </w:p>
        </w:tc>
        <w:tc>
          <w:tcPr>
            <w:tcW w:w="1559" w:type="dxa"/>
          </w:tcPr>
          <w:p w:rsidR="00CE58F0" w:rsidRDefault="00CE58F0" w:rsidP="00413B8D">
            <w:pPr>
              <w:jc w:val="right"/>
              <w:rPr>
                <w:b/>
                <w:szCs w:val="24"/>
              </w:rPr>
            </w:pPr>
            <w:r>
              <w:rPr>
                <w:b/>
                <w:szCs w:val="24"/>
              </w:rPr>
              <w:t>31/03/14</w:t>
            </w:r>
          </w:p>
          <w:p w:rsidR="00CE58F0" w:rsidRDefault="00CE58F0" w:rsidP="00413B8D">
            <w:pPr>
              <w:jc w:val="right"/>
              <w:rPr>
                <w:b/>
                <w:szCs w:val="24"/>
              </w:rPr>
            </w:pPr>
            <w:r>
              <w:rPr>
                <w:b/>
                <w:szCs w:val="24"/>
              </w:rPr>
              <w:t>£m</w:t>
            </w:r>
          </w:p>
        </w:tc>
        <w:tc>
          <w:tcPr>
            <w:tcW w:w="430" w:type="dxa"/>
            <w:tcBorders>
              <w:right w:val="single" w:sz="4" w:space="0" w:color="FFFFFF" w:themeColor="background1"/>
            </w:tcBorders>
          </w:tcPr>
          <w:p w:rsidR="00CE58F0" w:rsidRDefault="00CE58F0" w:rsidP="00413B8D">
            <w:pPr>
              <w:jc w:val="right"/>
              <w:rPr>
                <w:b/>
                <w:szCs w:val="24"/>
              </w:rPr>
            </w:pPr>
          </w:p>
          <w:p w:rsidR="00CE58F0" w:rsidRDefault="00CE58F0" w:rsidP="00413B8D">
            <w:pPr>
              <w:jc w:val="right"/>
              <w:rPr>
                <w:b/>
                <w:szCs w:val="24"/>
              </w:rPr>
            </w:pPr>
          </w:p>
        </w:tc>
        <w:tc>
          <w:tcPr>
            <w:tcW w:w="1696" w:type="dxa"/>
            <w:tcBorders>
              <w:left w:val="single" w:sz="4" w:space="0" w:color="FFFFFF" w:themeColor="background1"/>
            </w:tcBorders>
          </w:tcPr>
          <w:p w:rsidR="00CE58F0" w:rsidRDefault="00CE58F0" w:rsidP="00413B8D">
            <w:pPr>
              <w:jc w:val="right"/>
              <w:rPr>
                <w:b/>
                <w:szCs w:val="24"/>
              </w:rPr>
            </w:pPr>
            <w:r>
              <w:rPr>
                <w:b/>
                <w:szCs w:val="24"/>
              </w:rPr>
              <w:t>31/03/13</w:t>
            </w:r>
          </w:p>
          <w:p w:rsidR="00CE58F0" w:rsidRDefault="00CE58F0" w:rsidP="00413B8D">
            <w:pPr>
              <w:jc w:val="right"/>
              <w:rPr>
                <w:b/>
                <w:szCs w:val="24"/>
              </w:rPr>
            </w:pPr>
            <w:r>
              <w:rPr>
                <w:b/>
                <w:szCs w:val="24"/>
              </w:rPr>
              <w:t>£m</w:t>
            </w:r>
          </w:p>
          <w:p w:rsidR="00CE58F0" w:rsidRDefault="00CE58F0" w:rsidP="00413B8D">
            <w:pPr>
              <w:jc w:val="right"/>
              <w:rPr>
                <w:b/>
                <w:szCs w:val="24"/>
              </w:rPr>
            </w:pPr>
          </w:p>
        </w:tc>
      </w:tr>
      <w:tr w:rsidR="00CE58F0" w:rsidRPr="007A07AD" w:rsidTr="00413B8D">
        <w:tc>
          <w:tcPr>
            <w:tcW w:w="5058" w:type="dxa"/>
          </w:tcPr>
          <w:p w:rsidR="00CE58F0" w:rsidRDefault="00CE58F0" w:rsidP="00413B8D">
            <w:pPr>
              <w:rPr>
                <w:szCs w:val="24"/>
              </w:rPr>
            </w:pPr>
            <w:r>
              <w:rPr>
                <w:szCs w:val="24"/>
              </w:rPr>
              <w:t>Other local authorities</w:t>
            </w:r>
          </w:p>
        </w:tc>
        <w:tc>
          <w:tcPr>
            <w:tcW w:w="1559" w:type="dxa"/>
          </w:tcPr>
          <w:p w:rsidR="00CE58F0" w:rsidRPr="007A07AD" w:rsidRDefault="00CE58F0" w:rsidP="00413B8D">
            <w:pPr>
              <w:jc w:val="right"/>
              <w:rPr>
                <w:szCs w:val="24"/>
              </w:rPr>
            </w:pPr>
            <w:r>
              <w:rPr>
                <w:szCs w:val="24"/>
              </w:rPr>
              <w:t>4.0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4.2</w:t>
            </w:r>
          </w:p>
        </w:tc>
      </w:tr>
      <w:tr w:rsidR="00CE58F0" w:rsidRPr="007A07AD" w:rsidTr="00413B8D">
        <w:tc>
          <w:tcPr>
            <w:tcW w:w="5058" w:type="dxa"/>
          </w:tcPr>
          <w:p w:rsidR="00CE58F0" w:rsidRDefault="00CE58F0" w:rsidP="00413B8D">
            <w:pPr>
              <w:rPr>
                <w:szCs w:val="24"/>
              </w:rPr>
            </w:pPr>
            <w:r>
              <w:rPr>
                <w:szCs w:val="24"/>
              </w:rPr>
              <w:t>NHS bodies</w:t>
            </w:r>
          </w:p>
        </w:tc>
        <w:tc>
          <w:tcPr>
            <w:tcW w:w="1559" w:type="dxa"/>
          </w:tcPr>
          <w:p w:rsidR="00CE58F0" w:rsidRPr="007A07AD" w:rsidRDefault="00CE58F0" w:rsidP="00413B8D">
            <w:pPr>
              <w:jc w:val="right"/>
              <w:rPr>
                <w:szCs w:val="24"/>
              </w:rPr>
            </w:pPr>
            <w:r>
              <w:rPr>
                <w:szCs w:val="24"/>
              </w:rPr>
              <w:t>0.0</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0.4</w:t>
            </w:r>
          </w:p>
        </w:tc>
      </w:tr>
      <w:tr w:rsidR="00CE58F0" w:rsidRPr="007A07AD" w:rsidTr="00413B8D">
        <w:tc>
          <w:tcPr>
            <w:tcW w:w="5058" w:type="dxa"/>
          </w:tcPr>
          <w:p w:rsidR="00CE58F0" w:rsidRDefault="00CE58F0" w:rsidP="00413B8D">
            <w:pPr>
              <w:rPr>
                <w:szCs w:val="24"/>
              </w:rPr>
            </w:pPr>
            <w:r>
              <w:rPr>
                <w:szCs w:val="24"/>
              </w:rPr>
              <w:t>Other entities and individuals</w:t>
            </w:r>
          </w:p>
        </w:tc>
        <w:tc>
          <w:tcPr>
            <w:tcW w:w="1559" w:type="dxa"/>
          </w:tcPr>
          <w:p w:rsidR="00CE58F0" w:rsidRPr="007A07AD" w:rsidRDefault="00CE58F0" w:rsidP="00413B8D">
            <w:pPr>
              <w:jc w:val="right"/>
              <w:rPr>
                <w:szCs w:val="24"/>
              </w:rPr>
            </w:pPr>
            <w:r>
              <w:rPr>
                <w:szCs w:val="24"/>
              </w:rPr>
              <w:t>7.7</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left w:val="single" w:sz="4" w:space="0" w:color="FFFFFF" w:themeColor="background1"/>
            </w:tcBorders>
          </w:tcPr>
          <w:p w:rsidR="00CE58F0" w:rsidRPr="007A07AD" w:rsidRDefault="00CE58F0" w:rsidP="00413B8D">
            <w:pPr>
              <w:jc w:val="right"/>
              <w:rPr>
                <w:szCs w:val="24"/>
              </w:rPr>
            </w:pPr>
            <w:r>
              <w:rPr>
                <w:szCs w:val="24"/>
              </w:rPr>
              <w:t>5.1</w:t>
            </w:r>
          </w:p>
        </w:tc>
      </w:tr>
      <w:tr w:rsidR="00CE58F0" w:rsidRPr="007A07AD" w:rsidTr="00413B8D">
        <w:tc>
          <w:tcPr>
            <w:tcW w:w="5058" w:type="dxa"/>
          </w:tcPr>
          <w:p w:rsidR="00CE58F0" w:rsidRDefault="00CE58F0" w:rsidP="00413B8D">
            <w:pPr>
              <w:rPr>
                <w:szCs w:val="24"/>
              </w:rPr>
            </w:pPr>
          </w:p>
        </w:tc>
        <w:tc>
          <w:tcPr>
            <w:tcW w:w="1559" w:type="dxa"/>
            <w:tcBorders>
              <w:top w:val="single" w:sz="18" w:space="0" w:color="auto"/>
              <w:bottom w:val="single" w:sz="18" w:space="0" w:color="auto"/>
            </w:tcBorders>
          </w:tcPr>
          <w:p w:rsidR="00CE58F0" w:rsidRPr="007A07AD" w:rsidRDefault="00CE58F0" w:rsidP="00413B8D">
            <w:pPr>
              <w:jc w:val="right"/>
              <w:rPr>
                <w:szCs w:val="24"/>
              </w:rPr>
            </w:pPr>
            <w:r>
              <w:rPr>
                <w:szCs w:val="24"/>
              </w:rPr>
              <w:t>11.7</w:t>
            </w:r>
          </w:p>
        </w:tc>
        <w:tc>
          <w:tcPr>
            <w:tcW w:w="430" w:type="dxa"/>
            <w:tcBorders>
              <w:right w:val="single" w:sz="4" w:space="0" w:color="FFFFFF" w:themeColor="background1"/>
            </w:tcBorders>
          </w:tcPr>
          <w:p w:rsidR="00CE58F0" w:rsidRPr="007A07AD" w:rsidRDefault="00CE58F0" w:rsidP="00413B8D">
            <w:pPr>
              <w:jc w:val="right"/>
              <w:rPr>
                <w:szCs w:val="24"/>
              </w:rPr>
            </w:pPr>
          </w:p>
        </w:tc>
        <w:tc>
          <w:tcPr>
            <w:tcW w:w="1696" w:type="dxa"/>
            <w:tcBorders>
              <w:top w:val="single" w:sz="18" w:space="0" w:color="auto"/>
              <w:left w:val="single" w:sz="4" w:space="0" w:color="FFFFFF" w:themeColor="background1"/>
              <w:bottom w:val="single" w:sz="18" w:space="0" w:color="auto"/>
            </w:tcBorders>
          </w:tcPr>
          <w:p w:rsidR="00CE58F0" w:rsidRPr="007A07AD" w:rsidRDefault="00CE58F0" w:rsidP="00413B8D">
            <w:pPr>
              <w:jc w:val="right"/>
              <w:rPr>
                <w:szCs w:val="24"/>
              </w:rPr>
            </w:pPr>
            <w:r>
              <w:rPr>
                <w:szCs w:val="24"/>
              </w:rPr>
              <w:t>9.7</w:t>
            </w:r>
          </w:p>
        </w:tc>
      </w:tr>
    </w:tbl>
    <w:p w:rsidR="00CE58F0" w:rsidRDefault="00CE58F0" w:rsidP="00CE58F0">
      <w:pPr>
        <w:rPr>
          <w:rFonts w:cs="Arial"/>
          <w:b/>
          <w:bCs/>
          <w:color w:val="000000"/>
          <w:szCs w:val="24"/>
        </w:rPr>
      </w:pPr>
    </w:p>
    <w:p w:rsidR="00CE58F0" w:rsidRDefault="00CE58F0" w:rsidP="00CE58F0">
      <w:pPr>
        <w:ind w:left="720"/>
        <w:rPr>
          <w:rFonts w:cs="Arial"/>
          <w:b/>
          <w:bCs/>
          <w:color w:val="000000"/>
          <w:szCs w:val="24"/>
        </w:rPr>
      </w:pPr>
    </w:p>
    <w:p w:rsidR="00CE58F0" w:rsidRPr="00166665" w:rsidRDefault="00CE58F0" w:rsidP="00CE58F0">
      <w:pPr>
        <w:numPr>
          <w:ilvl w:val="0"/>
          <w:numId w:val="2"/>
        </w:numPr>
        <w:tabs>
          <w:tab w:val="clear" w:pos="720"/>
          <w:tab w:val="num" w:pos="709"/>
        </w:tabs>
        <w:spacing w:after="240"/>
        <w:ind w:left="862"/>
        <w:rPr>
          <w:b/>
          <w:szCs w:val="24"/>
        </w:rPr>
      </w:pPr>
      <w:r w:rsidRPr="00166665">
        <w:rPr>
          <w:b/>
          <w:szCs w:val="24"/>
        </w:rPr>
        <w:t>Contingent Asset and Liability</w:t>
      </w:r>
    </w:p>
    <w:p w:rsidR="00CE58F0" w:rsidRDefault="00CE58F0" w:rsidP="00CE58F0">
      <w:pPr>
        <w:pStyle w:val="BodyTextIndent"/>
        <w:tabs>
          <w:tab w:val="clear" w:pos="1080"/>
        </w:tabs>
        <w:ind w:left="709"/>
        <w:rPr>
          <w:szCs w:val="24"/>
        </w:rPr>
      </w:pPr>
      <w:r w:rsidRPr="000C15C5">
        <w:rPr>
          <w:szCs w:val="24"/>
        </w:rPr>
        <w:lastRenderedPageBreak/>
        <w:t>The Pension Fund is a member of two group litigation actions aimed at reclaiming tax credits on overseas dividends and foreign income dividends on the basis that the original denial of a full tax credit was in contravention of EU non-discrimination law.  If successful the estimated potential income to the Pension Fund is in the region of £10m.  The estimated fees payable in respect of the litigation, regardless of the outcome, are approximately £0.3m.  This issue is still progressing through the courts.</w:t>
      </w:r>
    </w:p>
    <w:p w:rsidR="00CE58F0" w:rsidRDefault="00CE58F0" w:rsidP="00CE58F0">
      <w:pPr>
        <w:pStyle w:val="BodyTextIndent"/>
        <w:tabs>
          <w:tab w:val="clear" w:pos="1080"/>
        </w:tabs>
        <w:ind w:left="709"/>
        <w:rPr>
          <w:szCs w:val="24"/>
        </w:rPr>
      </w:pPr>
      <w:r>
        <w:rPr>
          <w:szCs w:val="24"/>
        </w:rPr>
        <w:t>The Pension Fund has entered into a number of other claims that are not financially material which may result in additional income for the Fund.</w:t>
      </w:r>
    </w:p>
    <w:p w:rsidR="00CE58F0" w:rsidRDefault="00CE58F0" w:rsidP="00CE58F0">
      <w:pPr>
        <w:pStyle w:val="BodyTextIndent"/>
        <w:tabs>
          <w:tab w:val="clear" w:pos="1080"/>
        </w:tabs>
        <w:ind w:left="709"/>
        <w:rPr>
          <w:szCs w:val="24"/>
        </w:rPr>
      </w:pPr>
    </w:p>
    <w:p w:rsidR="00CE58F0" w:rsidRPr="00664AF7" w:rsidRDefault="00CE58F0" w:rsidP="00CE58F0">
      <w:pPr>
        <w:pStyle w:val="BodyTextIndent"/>
        <w:numPr>
          <w:ilvl w:val="0"/>
          <w:numId w:val="2"/>
        </w:numPr>
        <w:tabs>
          <w:tab w:val="clear" w:pos="720"/>
          <w:tab w:val="clear" w:pos="1080"/>
          <w:tab w:val="num" w:pos="709"/>
        </w:tabs>
        <w:spacing w:after="240"/>
        <w:ind w:left="862"/>
        <w:rPr>
          <w:szCs w:val="24"/>
        </w:rPr>
      </w:pPr>
      <w:r w:rsidRPr="00664AF7">
        <w:rPr>
          <w:b/>
          <w:szCs w:val="24"/>
        </w:rPr>
        <w:t>Contractual Commitments</w:t>
      </w:r>
    </w:p>
    <w:p w:rsidR="00CE58F0" w:rsidRDefault="00CE58F0" w:rsidP="00CE58F0">
      <w:pPr>
        <w:pStyle w:val="BodyTextIndent"/>
        <w:tabs>
          <w:tab w:val="clear" w:pos="1080"/>
          <w:tab w:val="left" w:pos="709"/>
        </w:tabs>
        <w:ind w:left="709"/>
        <w:rPr>
          <w:szCs w:val="24"/>
        </w:rPr>
      </w:pPr>
      <w:r>
        <w:rPr>
          <w:szCs w:val="24"/>
        </w:rPr>
        <w:t>The commitments relating to outstanding call payments due to unquoted limited partnership funds held in the venture capital and infrastructure part of the portfolio totalled £594.5</w:t>
      </w:r>
      <w:r w:rsidRPr="00A652FB">
        <w:rPr>
          <w:szCs w:val="24"/>
        </w:rPr>
        <w:t>m</w:t>
      </w:r>
      <w:r>
        <w:rPr>
          <w:szCs w:val="24"/>
        </w:rPr>
        <w:t>. The amounts 'called' by these funds</w:t>
      </w:r>
      <w:r w:rsidRPr="00DF7F83">
        <w:rPr>
          <w:szCs w:val="24"/>
        </w:rPr>
        <w:t xml:space="preserve"> are</w:t>
      </w:r>
      <w:r>
        <w:rPr>
          <w:szCs w:val="24"/>
        </w:rPr>
        <w:t xml:space="preserve"> irregular in both size and timing and c</w:t>
      </w:r>
      <w:r w:rsidRPr="00DF7F83">
        <w:rPr>
          <w:szCs w:val="24"/>
        </w:rPr>
        <w:t xml:space="preserve">ommitments to these partnerships are drawn down over a number of years.  The term of an individual investment can be up to 10 years.  Realisation of these investments in the form of distributions normally occurs towards the end of the investment period, when portfolio companies have built value and can be liquidated.  </w:t>
      </w:r>
    </w:p>
    <w:p w:rsidR="00CE58F0" w:rsidRDefault="00CE58F0" w:rsidP="00CE58F0">
      <w:pPr>
        <w:pStyle w:val="BodyTextIndent"/>
        <w:tabs>
          <w:tab w:val="clear" w:pos="1080"/>
          <w:tab w:val="left" w:pos="709"/>
        </w:tabs>
        <w:ind w:left="709"/>
        <w:rPr>
          <w:szCs w:val="24"/>
        </w:rPr>
      </w:pPr>
      <w:r>
        <w:rPr>
          <w:szCs w:val="24"/>
        </w:rPr>
        <w:t>The Fund entered into a new venture capital commitment in November 2013.  This will be internally managed and as at 31</w:t>
      </w:r>
      <w:r w:rsidRPr="000C15C5">
        <w:rPr>
          <w:szCs w:val="24"/>
          <w:vertAlign w:val="superscript"/>
        </w:rPr>
        <w:t>st</w:t>
      </w:r>
      <w:r>
        <w:rPr>
          <w:szCs w:val="24"/>
        </w:rPr>
        <w:t xml:space="preserve"> March 2014 there had been no drawdowns on the commitment of £17.9m.</w:t>
      </w:r>
    </w:p>
    <w:p w:rsidR="00CE58F0" w:rsidRDefault="00CE58F0" w:rsidP="00CE58F0">
      <w:pPr>
        <w:pStyle w:val="BodyTextIndent"/>
        <w:tabs>
          <w:tab w:val="clear" w:pos="1080"/>
          <w:tab w:val="left" w:pos="709"/>
        </w:tabs>
        <w:ind w:left="709"/>
        <w:rPr>
          <w:szCs w:val="24"/>
        </w:rPr>
      </w:pPr>
      <w:r>
        <w:rPr>
          <w:szCs w:val="24"/>
        </w:rPr>
        <w:t>In April 2013, the Fund approved the direct investment into a property development in St Albans.  The Fund is the sole investor in this town centre hotel and retail development   The Fund has a commitment to pay monthly staged payments to fund the development plus a balancing payment at completion.  The outstanding commitment at 31</w:t>
      </w:r>
      <w:r w:rsidRPr="000C15C5">
        <w:rPr>
          <w:szCs w:val="24"/>
          <w:vertAlign w:val="superscript"/>
        </w:rPr>
        <w:t>st</w:t>
      </w:r>
      <w:r>
        <w:rPr>
          <w:szCs w:val="24"/>
        </w:rPr>
        <w:t xml:space="preserve"> March 2014 amounts to £7.1m.</w:t>
      </w:r>
    </w:p>
    <w:p w:rsidR="00CE58F0" w:rsidRDefault="00CE58F0" w:rsidP="00CE58F0">
      <w:pPr>
        <w:pStyle w:val="BodyTextIndent"/>
        <w:tabs>
          <w:tab w:val="clear" w:pos="1080"/>
          <w:tab w:val="left" w:pos="709"/>
        </w:tabs>
        <w:ind w:left="709"/>
        <w:rPr>
          <w:szCs w:val="24"/>
        </w:rPr>
      </w:pPr>
    </w:p>
    <w:p w:rsidR="00CE58F0" w:rsidRPr="00166665" w:rsidRDefault="00CE58F0" w:rsidP="00CE58F0">
      <w:pPr>
        <w:numPr>
          <w:ilvl w:val="0"/>
          <w:numId w:val="2"/>
        </w:numPr>
        <w:tabs>
          <w:tab w:val="clear" w:pos="720"/>
        </w:tabs>
        <w:spacing w:after="240"/>
        <w:ind w:left="709"/>
        <w:rPr>
          <w:szCs w:val="24"/>
        </w:rPr>
      </w:pPr>
      <w:r w:rsidRPr="00166665">
        <w:rPr>
          <w:b/>
          <w:szCs w:val="24"/>
        </w:rPr>
        <w:t>Related Party Transactions</w:t>
      </w:r>
    </w:p>
    <w:p w:rsidR="00CE58F0" w:rsidRDefault="00CE58F0" w:rsidP="00CE58F0">
      <w:pPr>
        <w:pStyle w:val="BodyTextIndent"/>
        <w:tabs>
          <w:tab w:val="clear" w:pos="1080"/>
          <w:tab w:val="left" w:pos="709"/>
        </w:tabs>
        <w:ind w:left="709"/>
        <w:rPr>
          <w:szCs w:val="24"/>
        </w:rPr>
      </w:pPr>
      <w:r w:rsidRPr="00166665">
        <w:rPr>
          <w:szCs w:val="24"/>
        </w:rPr>
        <w:t xml:space="preserve">In accordance with </w:t>
      </w:r>
      <w:r>
        <w:rPr>
          <w:szCs w:val="24"/>
        </w:rPr>
        <w:t>IFRS</w:t>
      </w:r>
      <w:r w:rsidRPr="00166665">
        <w:rPr>
          <w:szCs w:val="24"/>
        </w:rPr>
        <w:t>, the financial statements must contain the disclosures necessary to draw attention to the possibility that the reported financial position of the Pension Fund may have been affected by the existence of related parties and associated material transactions.  They include:</w:t>
      </w:r>
    </w:p>
    <w:p w:rsidR="00CE58F0" w:rsidRPr="00166665" w:rsidRDefault="00CE58F0" w:rsidP="00CE58F0">
      <w:pPr>
        <w:pStyle w:val="BodyTextIndent"/>
        <w:tabs>
          <w:tab w:val="clear" w:pos="1080"/>
          <w:tab w:val="left" w:pos="709"/>
        </w:tabs>
        <w:ind w:left="709"/>
        <w:rPr>
          <w:szCs w:val="24"/>
        </w:rPr>
      </w:pPr>
    </w:p>
    <w:p w:rsidR="00CE58F0" w:rsidRPr="00DB5AF2" w:rsidRDefault="00CE58F0" w:rsidP="00CE58F0">
      <w:pPr>
        <w:pStyle w:val="BodyTextIndent"/>
        <w:numPr>
          <w:ilvl w:val="0"/>
          <w:numId w:val="5"/>
        </w:numPr>
        <w:tabs>
          <w:tab w:val="clear" w:pos="360"/>
          <w:tab w:val="num" w:pos="1080"/>
        </w:tabs>
        <w:spacing w:after="240"/>
        <w:ind w:left="1080"/>
        <w:rPr>
          <w:szCs w:val="24"/>
        </w:rPr>
      </w:pPr>
      <w:r w:rsidRPr="00DB5AF2">
        <w:rPr>
          <w:szCs w:val="24"/>
        </w:rPr>
        <w:t>At 31 March 201</w:t>
      </w:r>
      <w:r>
        <w:rPr>
          <w:szCs w:val="24"/>
        </w:rPr>
        <w:t>4</w:t>
      </w:r>
      <w:r w:rsidRPr="00DB5AF2">
        <w:rPr>
          <w:szCs w:val="24"/>
        </w:rPr>
        <w:t>, Gill Kilpatrick, CPFA, was Treasurer to the Pension Fund and County Treasurer for Lancashire County Council.</w:t>
      </w:r>
    </w:p>
    <w:p w:rsidR="00CE58F0" w:rsidRDefault="00CE58F0" w:rsidP="00CE58F0">
      <w:pPr>
        <w:pStyle w:val="BodyTextIndent"/>
        <w:numPr>
          <w:ilvl w:val="0"/>
          <w:numId w:val="5"/>
        </w:numPr>
        <w:tabs>
          <w:tab w:val="clear" w:pos="360"/>
          <w:tab w:val="num" w:pos="1080"/>
        </w:tabs>
        <w:spacing w:after="240"/>
        <w:ind w:left="1080"/>
        <w:rPr>
          <w:szCs w:val="24"/>
        </w:rPr>
      </w:pPr>
      <w:r w:rsidRPr="00C6368C">
        <w:rPr>
          <w:szCs w:val="24"/>
        </w:rPr>
        <w:t xml:space="preserve">The Pension Fund includes </w:t>
      </w:r>
      <w:r>
        <w:rPr>
          <w:szCs w:val="24"/>
        </w:rPr>
        <w:t>99</w:t>
      </w:r>
      <w:r w:rsidRPr="00C6368C">
        <w:rPr>
          <w:szCs w:val="24"/>
        </w:rPr>
        <w:t xml:space="preserve"> scheduled and </w:t>
      </w:r>
      <w:r>
        <w:rPr>
          <w:szCs w:val="24"/>
        </w:rPr>
        <w:t>198</w:t>
      </w:r>
      <w:r w:rsidRPr="00C6368C">
        <w:rPr>
          <w:szCs w:val="24"/>
        </w:rPr>
        <w:t xml:space="preserve"> admitted bodies. </w:t>
      </w:r>
    </w:p>
    <w:p w:rsidR="00CE58F0" w:rsidRPr="00C6368C" w:rsidRDefault="00CE58F0" w:rsidP="00CE58F0">
      <w:pPr>
        <w:pStyle w:val="BodyTextIndent"/>
        <w:numPr>
          <w:ilvl w:val="0"/>
          <w:numId w:val="5"/>
        </w:numPr>
        <w:tabs>
          <w:tab w:val="clear" w:pos="360"/>
          <w:tab w:val="num" w:pos="1080"/>
        </w:tabs>
        <w:spacing w:after="240"/>
        <w:ind w:left="1080"/>
        <w:rPr>
          <w:szCs w:val="24"/>
        </w:rPr>
      </w:pPr>
      <w:r>
        <w:rPr>
          <w:szCs w:val="24"/>
        </w:rPr>
        <w:t xml:space="preserve">Members of the </w:t>
      </w:r>
      <w:r w:rsidRPr="00C6368C">
        <w:rPr>
          <w:szCs w:val="24"/>
        </w:rPr>
        <w:t>Pension Fund Committee</w:t>
      </w:r>
      <w:r>
        <w:rPr>
          <w:szCs w:val="24"/>
        </w:rPr>
        <w:t>, comprising</w:t>
      </w:r>
      <w:r w:rsidRPr="00C6368C">
        <w:rPr>
          <w:szCs w:val="24"/>
        </w:rPr>
        <w:t xml:space="preserve"> 14 County Councillors, 2 Councillors from Unitary Authorities, 2 Councillors from </w:t>
      </w:r>
      <w:r>
        <w:rPr>
          <w:szCs w:val="24"/>
        </w:rPr>
        <w:t>District Councils</w:t>
      </w:r>
      <w:r w:rsidRPr="00C6368C">
        <w:rPr>
          <w:szCs w:val="24"/>
        </w:rPr>
        <w:t>, 2 Trade Union representatives, 1 representative from the Higher/Further education establishments and the Investment Advisory Panel.</w:t>
      </w:r>
    </w:p>
    <w:p w:rsidR="00CE58F0" w:rsidRDefault="00CE58F0" w:rsidP="00CE58F0">
      <w:pPr>
        <w:pStyle w:val="BodyTextIndent"/>
        <w:tabs>
          <w:tab w:val="clear" w:pos="1080"/>
        </w:tabs>
        <w:spacing w:after="240"/>
        <w:ind w:left="720"/>
        <w:rPr>
          <w:szCs w:val="24"/>
        </w:rPr>
      </w:pPr>
      <w:r>
        <w:rPr>
          <w:szCs w:val="24"/>
        </w:rPr>
        <w:t>The Pension Fund Committee members and senior officers of the Pension Fund were asked to complete a related party declaration for 2013/14. This revealed no material transactions between the Council and the members / officers and their families affecting involvement with the Pension Fund.  Each member of the Pension Fund Committee formally considers conflicts of interest at each meeting.</w:t>
      </w:r>
    </w:p>
    <w:p w:rsidR="00CE58F0" w:rsidRPr="000868FD" w:rsidRDefault="00CE58F0" w:rsidP="00CE58F0">
      <w:pPr>
        <w:ind w:left="709"/>
        <w:rPr>
          <w:b/>
        </w:rPr>
      </w:pPr>
      <w:r w:rsidRPr="000868FD">
        <w:rPr>
          <w:b/>
        </w:rPr>
        <w:lastRenderedPageBreak/>
        <w:t>Lancashire County Council</w:t>
      </w:r>
    </w:p>
    <w:p w:rsidR="00CE58F0" w:rsidRDefault="00CE58F0" w:rsidP="00CE58F0">
      <w:pPr>
        <w:ind w:left="709"/>
      </w:pPr>
    </w:p>
    <w:p w:rsidR="00CE58F0" w:rsidRDefault="00CE58F0" w:rsidP="00CE58F0">
      <w:pPr>
        <w:ind w:left="709"/>
      </w:pPr>
      <w:r>
        <w:t>The Lancashire County Pension Fund is administered by Lancashire County Council. Consequently there is a strong relationship between the council and the pension fund.</w:t>
      </w:r>
    </w:p>
    <w:p w:rsidR="00CE58F0" w:rsidRDefault="00CE58F0" w:rsidP="00CE58F0">
      <w:pPr>
        <w:ind w:left="709"/>
      </w:pPr>
    </w:p>
    <w:p w:rsidR="00CE58F0" w:rsidRDefault="00CE58F0" w:rsidP="00CE58F0">
      <w:pPr>
        <w:ind w:left="709"/>
      </w:pPr>
      <w:r>
        <w:t xml:space="preserve">The council incurred costs of £4.2 </w:t>
      </w:r>
      <w:r w:rsidRPr="001326C7">
        <w:t>million</w:t>
      </w:r>
      <w:r>
        <w:t xml:space="preserve"> (2012/13: £3.8 million) in relation to the administration of the fund.  This includes a proportion of relevant officers' salaries in respect of time allocated to Pension and Investment issues.  The council was subsequently reimbursed by the fund for these expenses. The council is also the single largest employer </w:t>
      </w:r>
    </w:p>
    <w:p w:rsidR="00CE58F0" w:rsidRDefault="00CE58F0" w:rsidP="00CE58F0">
      <w:pPr>
        <w:ind w:left="709"/>
      </w:pPr>
      <w:r>
        <w:t>of the members of the pension fund and contributed £69.1 million to the fund in 2013/14 (2012/13:£63.4m million). All monies owing to and due from the fund were paid in year.</w:t>
      </w:r>
    </w:p>
    <w:p w:rsidR="00CE58F0" w:rsidRDefault="00CE58F0" w:rsidP="00CE58F0">
      <w:pPr>
        <w:ind w:left="567"/>
      </w:pPr>
    </w:p>
    <w:p w:rsidR="00CE58F0" w:rsidRDefault="00CE58F0" w:rsidP="00CE58F0">
      <w:pPr>
        <w:pStyle w:val="BodyTextIndent"/>
        <w:tabs>
          <w:tab w:val="clear" w:pos="1080"/>
        </w:tabs>
        <w:spacing w:after="240"/>
        <w:ind w:left="720"/>
      </w:pPr>
      <w:r>
        <w:t xml:space="preserve">Part of the pension fund cash holdings are invested on the money markets by the treasury management operations of Lancashire Council County. </w:t>
      </w:r>
    </w:p>
    <w:p w:rsidR="00CE58F0" w:rsidRPr="00425DF8" w:rsidRDefault="00CE58F0" w:rsidP="00CE58F0">
      <w:pPr>
        <w:pStyle w:val="BodyTextIndent"/>
        <w:tabs>
          <w:tab w:val="clear" w:pos="1080"/>
        </w:tabs>
        <w:spacing w:after="240"/>
        <w:ind w:left="720"/>
        <w:rPr>
          <w:b/>
        </w:rPr>
      </w:pPr>
      <w:r w:rsidRPr="00425DF8">
        <w:rPr>
          <w:b/>
        </w:rPr>
        <w:t>Key management personnel</w:t>
      </w:r>
    </w:p>
    <w:p w:rsidR="00CE58F0" w:rsidRDefault="00CE58F0" w:rsidP="00CE58F0">
      <w:pPr>
        <w:pStyle w:val="BodyTextIndent"/>
        <w:tabs>
          <w:tab w:val="clear" w:pos="1080"/>
        </w:tabs>
        <w:spacing w:after="240"/>
        <w:ind w:left="720"/>
      </w:pPr>
      <w:r>
        <w:t>Paragraph 3.9.4.3 of the Code exempts local authorities from key management personnel disclosure requirements of IAS24, on the basis that the disclosure requirements for officer remuneration and members' allowances detailed in section 3.4 of the code (which are derived from the requirements of Regulation 7 (2)-(4) of the Accounts and Audit (England) Regulations 2011 and Regulation 7A of the Accounts and Audit (Wales) Regulations 2005) satisfy the key management disclosure requirements of paragraph 16 of IAS24.  This applies in equal measure to the accounts of the Lancashire County Pension Fund.</w:t>
      </w:r>
    </w:p>
    <w:p w:rsidR="00CE58F0" w:rsidRDefault="00CE58F0" w:rsidP="00CE58F0">
      <w:pPr>
        <w:pStyle w:val="BodyTextIndent"/>
        <w:tabs>
          <w:tab w:val="clear" w:pos="1080"/>
        </w:tabs>
        <w:spacing w:after="240"/>
        <w:ind w:left="720"/>
      </w:pPr>
      <w:r>
        <w:t>The disclosure required by Regulation 7 (2)-(4) of the Accounts and Audit (England) Reg</w:t>
      </w:r>
      <w:r w:rsidR="00783C33">
        <w:t>u</w:t>
      </w:r>
      <w:r>
        <w:t>lations can be found in the main accounts of Lancashire County Council.</w:t>
      </w:r>
    </w:p>
    <w:p w:rsidR="00CE58F0" w:rsidRPr="00166665" w:rsidRDefault="00CE58F0" w:rsidP="00CE58F0">
      <w:pPr>
        <w:numPr>
          <w:ilvl w:val="0"/>
          <w:numId w:val="2"/>
        </w:numPr>
        <w:tabs>
          <w:tab w:val="clear" w:pos="720"/>
          <w:tab w:val="num" w:pos="862"/>
        </w:tabs>
        <w:spacing w:after="240"/>
        <w:ind w:left="862"/>
        <w:rPr>
          <w:b/>
          <w:szCs w:val="24"/>
        </w:rPr>
      </w:pPr>
      <w:r w:rsidRPr="00166665">
        <w:rPr>
          <w:b/>
          <w:szCs w:val="24"/>
        </w:rPr>
        <w:t>Icelandic Investment</w:t>
      </w:r>
    </w:p>
    <w:p w:rsidR="00CE58F0" w:rsidRDefault="00CE58F0" w:rsidP="00CE58F0">
      <w:pPr>
        <w:widowControl w:val="0"/>
        <w:suppressAutoHyphens/>
        <w:ind w:left="709"/>
      </w:pPr>
      <w:r w:rsidRPr="00495E58">
        <w:rPr>
          <w:szCs w:val="22"/>
        </w:rPr>
        <w:t>The Lancashire County Pension Fund had £2.4m on deposit</w:t>
      </w:r>
      <w:r>
        <w:rPr>
          <w:szCs w:val="22"/>
        </w:rPr>
        <w:t xml:space="preserve"> with the Icelandic Bank Landsbanki (LBI) when it collapsed in October 2008</w:t>
      </w:r>
      <w:r w:rsidRPr="00495E58">
        <w:rPr>
          <w:szCs w:val="22"/>
        </w:rPr>
        <w:t xml:space="preserve">.  </w:t>
      </w:r>
      <w:r w:rsidRPr="00495E58">
        <w:t>The Winding up Board published details of LBI's financial position as at 31 December 2013</w:t>
      </w:r>
      <w:r>
        <w:t>;</w:t>
      </w:r>
      <w:r w:rsidRPr="00495E58">
        <w:t xml:space="preserve"> this showed that LBI's assets, including partial payments already made in respect of priority claims were greater than the sum of priority claims. It is therefore still considered likely that UK local authorities will recover 100% of their deposits, subject to potential future exchange rate fluctuations.  Approximately 51.8% of the total claim has now been repaid</w:t>
      </w:r>
      <w:r>
        <w:t xml:space="preserve"> and the outstanding balance at 31</w:t>
      </w:r>
      <w:r w:rsidRPr="00495E58">
        <w:rPr>
          <w:vertAlign w:val="superscript"/>
        </w:rPr>
        <w:t>st</w:t>
      </w:r>
      <w:r>
        <w:t xml:space="preserve"> March 2014 is £1.2m</w:t>
      </w:r>
      <w:r w:rsidRPr="00495E58">
        <w:t>.</w:t>
      </w:r>
      <w:r>
        <w:t xml:space="preserve">  The exact timing and amount</w:t>
      </w:r>
      <w:r w:rsidRPr="00495E58">
        <w:t xml:space="preserve"> of future distributions is not known at this stage.</w:t>
      </w:r>
      <w:r>
        <w:t xml:space="preserve"> The deposit is treated as an asset on the net asset statement and the carrying value is written down as distributions are received.</w:t>
      </w:r>
    </w:p>
    <w:p w:rsidR="00CE58F0" w:rsidRDefault="00CE58F0" w:rsidP="00CE58F0">
      <w:pPr>
        <w:widowControl w:val="0"/>
        <w:suppressAutoHyphens/>
        <w:ind w:left="709"/>
      </w:pPr>
    </w:p>
    <w:p w:rsidR="00CE58F0" w:rsidRDefault="00CE58F0" w:rsidP="00CE58F0">
      <w:pPr>
        <w:widowControl w:val="0"/>
        <w:suppressAutoHyphens/>
        <w:ind w:left="720"/>
      </w:pPr>
    </w:p>
    <w:p w:rsidR="00CE58F0" w:rsidRPr="00FE0511" w:rsidRDefault="00CE58F0" w:rsidP="00CE58F0">
      <w:pPr>
        <w:pStyle w:val="ListParagraph"/>
        <w:widowControl w:val="0"/>
        <w:numPr>
          <w:ilvl w:val="0"/>
          <w:numId w:val="2"/>
        </w:numPr>
        <w:tabs>
          <w:tab w:val="clear" w:pos="720"/>
          <w:tab w:val="num" w:pos="709"/>
          <w:tab w:val="num" w:pos="862"/>
        </w:tabs>
        <w:suppressAutoHyphens/>
        <w:ind w:left="862"/>
        <w:rPr>
          <w:b/>
        </w:rPr>
      </w:pPr>
      <w:r w:rsidRPr="00FE0511">
        <w:rPr>
          <w:b/>
        </w:rPr>
        <w:t>Funding Arrangements</w:t>
      </w:r>
    </w:p>
    <w:p w:rsidR="00CE58F0" w:rsidRDefault="00CE58F0" w:rsidP="00CE58F0">
      <w:pPr>
        <w:widowControl w:val="0"/>
        <w:tabs>
          <w:tab w:val="num" w:pos="567"/>
        </w:tabs>
        <w:suppressAutoHyphens/>
        <w:rPr>
          <w:b/>
        </w:rPr>
      </w:pPr>
    </w:p>
    <w:p w:rsidR="00CE58F0" w:rsidRDefault="00CE58F0" w:rsidP="00CE58F0">
      <w:pPr>
        <w:pStyle w:val="Heading3"/>
        <w:spacing w:before="60" w:after="60" w:line="300" w:lineRule="atLeast"/>
        <w:ind w:left="709"/>
        <w:rPr>
          <w:i w:val="0"/>
          <w:sz w:val="24"/>
          <w:szCs w:val="24"/>
          <w:u w:val="none"/>
        </w:rPr>
      </w:pPr>
      <w:r w:rsidRPr="00C16856">
        <w:rPr>
          <w:i w:val="0"/>
          <w:sz w:val="24"/>
          <w:szCs w:val="24"/>
          <w:u w:val="none"/>
        </w:rPr>
        <w:t>Accounts for the year ended 31 March 201</w:t>
      </w:r>
      <w:r>
        <w:rPr>
          <w:i w:val="0"/>
          <w:sz w:val="24"/>
          <w:szCs w:val="24"/>
          <w:u w:val="none"/>
        </w:rPr>
        <w:t>4</w:t>
      </w:r>
      <w:r w:rsidRPr="00C16856">
        <w:rPr>
          <w:i w:val="0"/>
          <w:sz w:val="24"/>
          <w:szCs w:val="24"/>
          <w:u w:val="none"/>
        </w:rPr>
        <w:t xml:space="preserve"> - Statement by the Consulting Actuary</w:t>
      </w:r>
    </w:p>
    <w:p w:rsidR="00CE58F0" w:rsidRPr="00FE0511" w:rsidRDefault="00CE58F0" w:rsidP="00CE58F0">
      <w:pPr>
        <w:rPr>
          <w:lang w:eastAsia="en-US"/>
        </w:rPr>
      </w:pPr>
    </w:p>
    <w:p w:rsidR="00CE58F0" w:rsidRDefault="00CE58F0" w:rsidP="00CE58F0">
      <w:pPr>
        <w:ind w:left="709"/>
        <w:rPr>
          <w:noProof/>
        </w:rPr>
      </w:pPr>
      <w:r>
        <w:rPr>
          <w:noProof/>
        </w:rPr>
        <w:t>This statement has been provided to meet the requirements under Regulation 57</w:t>
      </w:r>
      <w:r w:rsidRPr="002E7BFB">
        <w:rPr>
          <w:noProof/>
        </w:rPr>
        <w:t>(1)(d) of The Local Government</w:t>
      </w:r>
      <w:r>
        <w:rPr>
          <w:noProof/>
        </w:rPr>
        <w:t xml:space="preserve"> Pension Scheme</w:t>
      </w:r>
      <w:r w:rsidRPr="002E7BFB">
        <w:rPr>
          <w:noProof/>
        </w:rPr>
        <w:t xml:space="preserve"> Reg</w:t>
      </w:r>
      <w:r>
        <w:rPr>
          <w:noProof/>
        </w:rPr>
        <w:t>ulations 2013</w:t>
      </w:r>
      <w:r w:rsidRPr="002E7BFB">
        <w:rPr>
          <w:noProof/>
        </w:rPr>
        <w:t>.</w:t>
      </w:r>
    </w:p>
    <w:p w:rsidR="00CE58F0" w:rsidRDefault="00CE58F0" w:rsidP="00CE58F0">
      <w:pPr>
        <w:ind w:left="709"/>
        <w:rPr>
          <w:noProof/>
        </w:rPr>
      </w:pPr>
    </w:p>
    <w:p w:rsidR="00CE58F0" w:rsidRDefault="00CE58F0" w:rsidP="00CE58F0">
      <w:pPr>
        <w:ind w:left="709"/>
        <w:rPr>
          <w:noProof/>
        </w:rPr>
      </w:pPr>
      <w:r>
        <w:rPr>
          <w:noProof/>
        </w:rPr>
        <w:t xml:space="preserve">An actuarial valuation of the </w:t>
      </w:r>
      <w:r w:rsidRPr="002E7BFB">
        <w:rPr>
          <w:noProof/>
        </w:rPr>
        <w:t>Lancashire County Pension Fund was carried out as at 31 March 2013 to determine the contribution rates with effect from 1 April 2014 to 31 March 2017.</w:t>
      </w:r>
    </w:p>
    <w:p w:rsidR="00CE58F0" w:rsidRDefault="00CE58F0" w:rsidP="00CE58F0">
      <w:pPr>
        <w:ind w:left="709"/>
        <w:rPr>
          <w:noProof/>
        </w:rPr>
      </w:pPr>
    </w:p>
    <w:p w:rsidR="00CE58F0" w:rsidRDefault="00CE58F0" w:rsidP="00CE58F0">
      <w:pPr>
        <w:pStyle w:val="Header"/>
        <w:spacing w:after="240"/>
        <w:ind w:left="709"/>
      </w:pPr>
      <w:r w:rsidRPr="002E7BFB">
        <w:t>On the basis of the assumptions adopted, the Fund’s assets of £5,011 million represented 78% of the Fund’s past service liabilities of £6,388 million (the “Funding Target</w:t>
      </w:r>
      <w:r>
        <w:t xml:space="preserve">”) at the valuation date. The deficit at the valuation date was therefore £1,377 million. </w:t>
      </w:r>
    </w:p>
    <w:p w:rsidR="00CE58F0" w:rsidRPr="003253D1" w:rsidRDefault="00CE58F0" w:rsidP="00CE58F0">
      <w:pPr>
        <w:widowControl w:val="0"/>
        <w:tabs>
          <w:tab w:val="num" w:pos="567"/>
        </w:tabs>
        <w:suppressAutoHyphens/>
        <w:rPr>
          <w:b/>
        </w:rPr>
      </w:pPr>
    </w:p>
    <w:p w:rsidR="00CE58F0" w:rsidRDefault="00CE58F0" w:rsidP="00CE58F0">
      <w:pPr>
        <w:pStyle w:val="Header"/>
        <w:spacing w:after="240"/>
      </w:pPr>
      <w:r>
        <w:t xml:space="preserve">. </w:t>
      </w:r>
    </w:p>
    <w:p w:rsidR="00CE58F0" w:rsidRPr="008625DB" w:rsidRDefault="00CE58F0" w:rsidP="00CE58F0">
      <w:pPr>
        <w:pStyle w:val="Header"/>
        <w:spacing w:after="240"/>
        <w:ind w:left="567"/>
      </w:pPr>
      <w:r>
        <w:t xml:space="preserve"> </w:t>
      </w:r>
      <w:r>
        <w:rPr>
          <w:noProof/>
        </w:rPr>
        <w:drawing>
          <wp:inline distT="0" distB="0" distL="0" distR="0" wp14:anchorId="0F491ED1" wp14:editId="032FE38A">
            <wp:extent cx="615124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151245" cy="2743200"/>
                    </a:xfrm>
                    <a:prstGeom prst="rect">
                      <a:avLst/>
                    </a:prstGeom>
                    <a:noFill/>
                  </pic:spPr>
                </pic:pic>
              </a:graphicData>
            </a:graphic>
          </wp:inline>
        </w:drawing>
      </w:r>
    </w:p>
    <w:p w:rsidR="00CE58F0" w:rsidRDefault="00CE58F0" w:rsidP="00CE58F0">
      <w:pPr>
        <w:pStyle w:val="Header"/>
        <w:spacing w:after="240"/>
        <w:ind w:left="567"/>
      </w:pPr>
      <w:r>
        <w:t xml:space="preserve">The valuation also showed that a common rate of contribution </w:t>
      </w:r>
      <w:r w:rsidRPr="00B74D79">
        <w:t xml:space="preserve">of </w:t>
      </w:r>
      <w:r w:rsidRPr="002E7BFB">
        <w:t>13.1% of</w:t>
      </w:r>
      <w:r w:rsidRPr="00B74D79">
        <w:t xml:space="preserve"> pensionable</w:t>
      </w:r>
      <w:r>
        <w:t xml:space="preserve"> pay per annum was required from employers</w:t>
      </w:r>
      <w:r w:rsidRPr="0003298F">
        <w:t>.  The common rate is calculated as being sufficient</w:t>
      </w:r>
      <w:r>
        <w:t xml:space="preserve"> in the long term</w:t>
      </w:r>
      <w:r w:rsidRPr="0003298F">
        <w:t>, together with contributions paid by members, to meet all liabilities arising in respect of service after the valuation date.</w:t>
      </w:r>
      <w:r>
        <w:t xml:space="preserve"> It allows for the new LGPS benefit structure effective from 1 April 2014. </w:t>
      </w:r>
    </w:p>
    <w:p w:rsidR="00CE58F0" w:rsidRDefault="00CE58F0" w:rsidP="00CE58F0">
      <w:pPr>
        <w:pStyle w:val="Header"/>
        <w:ind w:left="567"/>
      </w:pPr>
      <w:r>
        <w:t>After the valuation date, there were significant changes in financial markets. In particular there was an increase in gilt yields, which underpin the liability assessment. This improved the funding position materially to 82% with a resulting deficit of £1,088 million. This improvement was taken into account when setting the deficit contribution requirements for employers where required to stabilise contribution rates. On average across the Fund, the updated deficit would be eliminated by a contribution addition of £65m per annum increasing at 4.1% per annum (equivalent to 7.6% of projected Pensionable Pay at the valuation date) for 19 years if all assumptions are borne out in practice.</w:t>
      </w:r>
    </w:p>
    <w:p w:rsidR="00CE58F0" w:rsidRDefault="00CE58F0" w:rsidP="00CE58F0">
      <w:pPr>
        <w:ind w:left="567"/>
        <w:rPr>
          <w:noProof/>
        </w:rPr>
      </w:pPr>
      <w:r>
        <w:rPr>
          <w:noProof/>
        </w:rPr>
        <w:t xml:space="preserve">Further details </w:t>
      </w:r>
      <w:r w:rsidRPr="002E7BFB">
        <w:rPr>
          <w:noProof/>
        </w:rPr>
        <w:t>regarding the results of the valuation are contained in the formal report on the actuarial valuation dated March 2014.</w:t>
      </w:r>
      <w:r>
        <w:rPr>
          <w:noProof/>
        </w:rPr>
        <w:t xml:space="preserve"> </w:t>
      </w:r>
    </w:p>
    <w:p w:rsidR="00CE58F0" w:rsidRDefault="00CE58F0" w:rsidP="00CE58F0">
      <w:pPr>
        <w:ind w:left="567"/>
      </w:pPr>
    </w:p>
    <w:p w:rsidR="00CE58F0" w:rsidRDefault="00E87CD5" w:rsidP="00CE58F0">
      <w:pPr>
        <w:pStyle w:val="Header"/>
        <w:spacing w:after="240"/>
        <w:ind w:left="567"/>
      </w:pPr>
      <w:r>
        <w:t>I</w:t>
      </w:r>
      <w:r w:rsidR="00CE58F0">
        <w:t xml:space="preserve">n practice, </w:t>
      </w:r>
      <w:r w:rsidR="00CE58F0" w:rsidRPr="00B74D79">
        <w:t xml:space="preserve">each individual employer’s position is assessed separately and the contributions required are set </w:t>
      </w:r>
      <w:r w:rsidR="00CE58F0">
        <w:t>out i</w:t>
      </w:r>
      <w:r w:rsidR="00CE58F0" w:rsidRPr="00B74D79">
        <w:t xml:space="preserve">n </w:t>
      </w:r>
      <w:r w:rsidR="00CE58F0">
        <w:t>the</w:t>
      </w:r>
      <w:r w:rsidR="00CE58F0" w:rsidRPr="00B74D79">
        <w:t xml:space="preserve"> report</w:t>
      </w:r>
      <w:r w:rsidR="00CE58F0">
        <w:t xml:space="preserve">. </w:t>
      </w:r>
      <w:r w:rsidR="00CE58F0" w:rsidRPr="00B74D79">
        <w:t>In addition</w:t>
      </w:r>
      <w:r w:rsidR="00CE58F0">
        <w:t xml:space="preserve"> to the certified contribution rates, payments to cover additional liabilities arising from early retirements (other than ill-health retirements) will be made to the Fund by the employers.</w:t>
      </w:r>
    </w:p>
    <w:p w:rsidR="00CE58F0" w:rsidRDefault="00CE58F0" w:rsidP="00CE58F0">
      <w:pPr>
        <w:pStyle w:val="Header"/>
        <w:spacing w:after="240"/>
        <w:ind w:left="567"/>
      </w:pPr>
      <w:r>
        <w:t xml:space="preserve">The funding plan adopted in assessing the contributions for each individual employer is in accordance with the Funding Strategy Statement (FSS). Any different approaches adopted, e.g. with regard to the implementation of contribution increases and deficit recovery periods, are as determined through the FSS consultation process. </w:t>
      </w:r>
    </w:p>
    <w:p w:rsidR="00CE58F0" w:rsidRDefault="00CE58F0" w:rsidP="00CE58F0">
      <w:pPr>
        <w:pStyle w:val="Header"/>
        <w:ind w:left="567"/>
      </w:pPr>
      <w:r>
        <w:lastRenderedPageBreak/>
        <w:t xml:space="preserve">The valuation was carried out </w:t>
      </w:r>
      <w:r w:rsidRPr="0003298F">
        <w:t>using the projected unit actuarial method and the</w:t>
      </w:r>
      <w:r>
        <w:t xml:space="preserve"> main actuarial assumptions used for assessing the Funding Target and the common contribution rate were as follows:</w:t>
      </w:r>
    </w:p>
    <w:p w:rsidR="00CE58F0" w:rsidRDefault="00CE58F0" w:rsidP="00CE58F0">
      <w:pPr>
        <w:pStyle w:val="Header"/>
        <w:ind w:left="567"/>
      </w:pPr>
    </w:p>
    <w:p w:rsidR="00CE58F0" w:rsidRDefault="00CE58F0" w:rsidP="00CE58F0">
      <w:pPr>
        <w:pStyle w:val="Header"/>
        <w:ind w:left="567"/>
      </w:pPr>
    </w:p>
    <w:tbl>
      <w:tblPr>
        <w:tblW w:w="0" w:type="auto"/>
        <w:tblInd w:w="725" w:type="dxa"/>
        <w:tblBorders>
          <w:top w:val="single" w:sz="4" w:space="0" w:color="auto"/>
          <w:bottom w:val="single" w:sz="4" w:space="0" w:color="auto"/>
          <w:insideH w:val="single" w:sz="4" w:space="0" w:color="auto"/>
        </w:tblBorders>
        <w:tblLayout w:type="fixed"/>
        <w:tblCellMar>
          <w:left w:w="72" w:type="dxa"/>
          <w:right w:w="72" w:type="dxa"/>
        </w:tblCellMar>
        <w:tblLook w:val="0000" w:firstRow="0" w:lastRow="0" w:firstColumn="0" w:lastColumn="0" w:noHBand="0" w:noVBand="0"/>
      </w:tblPr>
      <w:tblGrid>
        <w:gridCol w:w="4217"/>
        <w:gridCol w:w="2245"/>
        <w:gridCol w:w="2565"/>
      </w:tblGrid>
      <w:tr w:rsidR="00CE58F0" w:rsidRPr="002D05B5" w:rsidTr="00413B8D">
        <w:trPr>
          <w:cantSplit/>
          <w:tblHeader/>
        </w:trPr>
        <w:tc>
          <w:tcPr>
            <w:tcW w:w="4217" w:type="dxa"/>
            <w:tcBorders>
              <w:top w:val="nil"/>
              <w:bottom w:val="nil"/>
            </w:tcBorders>
            <w:shd w:val="clear" w:color="auto" w:fill="002C77"/>
            <w:vAlign w:val="bottom"/>
          </w:tcPr>
          <w:p w:rsidR="00CE58F0" w:rsidRPr="006D600B" w:rsidRDefault="00CE58F0" w:rsidP="00413B8D">
            <w:pPr>
              <w:pStyle w:val="TableHeadingText"/>
              <w:rPr>
                <w:color w:val="FFFFFF"/>
              </w:rPr>
            </w:pPr>
          </w:p>
        </w:tc>
        <w:tc>
          <w:tcPr>
            <w:tcW w:w="2245" w:type="dxa"/>
            <w:tcBorders>
              <w:top w:val="nil"/>
              <w:bottom w:val="nil"/>
            </w:tcBorders>
            <w:shd w:val="clear" w:color="auto" w:fill="002C77"/>
            <w:vAlign w:val="bottom"/>
          </w:tcPr>
          <w:p w:rsidR="00CE58F0" w:rsidRPr="006D600B" w:rsidRDefault="00CE58F0" w:rsidP="00413B8D">
            <w:pPr>
              <w:pStyle w:val="TableHeadingText"/>
              <w:rPr>
                <w:color w:val="FFFFFF"/>
              </w:rPr>
            </w:pPr>
            <w:r w:rsidRPr="006D600B">
              <w:rPr>
                <w:color w:val="FFFFFF"/>
              </w:rPr>
              <w:t>For past service liabilities (Funding Target)</w:t>
            </w:r>
          </w:p>
        </w:tc>
        <w:tc>
          <w:tcPr>
            <w:tcW w:w="2565" w:type="dxa"/>
            <w:tcBorders>
              <w:top w:val="nil"/>
              <w:bottom w:val="nil"/>
            </w:tcBorders>
            <w:shd w:val="clear" w:color="auto" w:fill="002C77"/>
            <w:vAlign w:val="bottom"/>
          </w:tcPr>
          <w:p w:rsidR="00CE58F0" w:rsidRPr="006D600B" w:rsidRDefault="00CE58F0" w:rsidP="00413B8D">
            <w:pPr>
              <w:pStyle w:val="TableHeadingText"/>
              <w:rPr>
                <w:color w:val="FFFFFF"/>
              </w:rPr>
            </w:pPr>
            <w:r w:rsidRPr="006D600B">
              <w:rPr>
                <w:color w:val="FFFFFF"/>
              </w:rPr>
              <w:t>For future service liabilities (Common Contribution Rate)</w:t>
            </w:r>
          </w:p>
        </w:tc>
      </w:tr>
      <w:tr w:rsidR="00CE58F0" w:rsidTr="00413B8D">
        <w:trPr>
          <w:cantSplit/>
        </w:trPr>
        <w:tc>
          <w:tcPr>
            <w:tcW w:w="4217" w:type="dxa"/>
            <w:tcBorders>
              <w:top w:val="nil"/>
            </w:tcBorders>
            <w:shd w:val="clear" w:color="auto" w:fill="auto"/>
          </w:tcPr>
          <w:p w:rsidR="00CE58F0" w:rsidRDefault="00CE58F0" w:rsidP="00413B8D">
            <w:pPr>
              <w:pStyle w:val="TableText"/>
            </w:pPr>
            <w:r>
              <w:t>Rate of return on investments (discount rate)</w:t>
            </w:r>
          </w:p>
        </w:tc>
        <w:tc>
          <w:tcPr>
            <w:tcW w:w="2245" w:type="dxa"/>
            <w:tcBorders>
              <w:top w:val="nil"/>
            </w:tcBorders>
            <w:shd w:val="clear" w:color="auto" w:fill="auto"/>
          </w:tcPr>
          <w:p w:rsidR="00CE58F0" w:rsidRPr="002E7BFB" w:rsidRDefault="00CE58F0" w:rsidP="00413B8D">
            <w:pPr>
              <w:pStyle w:val="TableText"/>
              <w:spacing w:before="0" w:after="0"/>
            </w:pPr>
            <w:r w:rsidRPr="002E7BFB">
              <w:t>4.8% per annum</w:t>
            </w:r>
          </w:p>
        </w:tc>
        <w:tc>
          <w:tcPr>
            <w:tcW w:w="2565" w:type="dxa"/>
            <w:tcBorders>
              <w:top w:val="nil"/>
            </w:tcBorders>
            <w:shd w:val="clear" w:color="auto" w:fill="auto"/>
          </w:tcPr>
          <w:p w:rsidR="00CE58F0" w:rsidRPr="002E7BFB" w:rsidRDefault="00CE58F0" w:rsidP="00413B8D">
            <w:pPr>
              <w:pStyle w:val="TableText"/>
              <w:spacing w:before="0" w:after="0"/>
            </w:pPr>
            <w:r w:rsidRPr="002E7BFB">
              <w:t>5.6% per annum</w:t>
            </w:r>
          </w:p>
        </w:tc>
      </w:tr>
      <w:tr w:rsidR="00CE58F0" w:rsidTr="00413B8D">
        <w:trPr>
          <w:cantSplit/>
        </w:trPr>
        <w:tc>
          <w:tcPr>
            <w:tcW w:w="4217" w:type="dxa"/>
            <w:shd w:val="clear" w:color="auto" w:fill="auto"/>
          </w:tcPr>
          <w:p w:rsidR="00CE58F0" w:rsidRDefault="00CE58F0" w:rsidP="00413B8D">
            <w:pPr>
              <w:pStyle w:val="TableText"/>
            </w:pPr>
            <w:r>
              <w:t>Rate of pay increases (long term)*</w:t>
            </w:r>
          </w:p>
        </w:tc>
        <w:tc>
          <w:tcPr>
            <w:tcW w:w="2245" w:type="dxa"/>
            <w:shd w:val="clear" w:color="auto" w:fill="auto"/>
          </w:tcPr>
          <w:p w:rsidR="00CE58F0" w:rsidRPr="002E7BFB" w:rsidRDefault="00CE58F0" w:rsidP="00413B8D">
            <w:pPr>
              <w:pStyle w:val="TableText"/>
            </w:pPr>
            <w:r w:rsidRPr="002E7BFB">
              <w:t>4.1% per annum</w:t>
            </w:r>
          </w:p>
        </w:tc>
        <w:tc>
          <w:tcPr>
            <w:tcW w:w="2565" w:type="dxa"/>
            <w:shd w:val="clear" w:color="auto" w:fill="auto"/>
          </w:tcPr>
          <w:p w:rsidR="00CE58F0" w:rsidRPr="002E7BFB" w:rsidRDefault="00CE58F0" w:rsidP="00413B8D">
            <w:pPr>
              <w:pStyle w:val="TableText"/>
            </w:pPr>
            <w:r w:rsidRPr="002E7BFB">
              <w:t>4.1% per annum</w:t>
            </w:r>
          </w:p>
        </w:tc>
      </w:tr>
      <w:tr w:rsidR="00CE58F0" w:rsidTr="00413B8D">
        <w:trPr>
          <w:cantSplit/>
        </w:trPr>
        <w:tc>
          <w:tcPr>
            <w:tcW w:w="4217" w:type="dxa"/>
            <w:shd w:val="clear" w:color="auto" w:fill="auto"/>
          </w:tcPr>
          <w:p w:rsidR="00CE58F0" w:rsidRDefault="00CE58F0" w:rsidP="00413B8D">
            <w:pPr>
              <w:pStyle w:val="TableText"/>
              <w:spacing w:before="0" w:after="0"/>
            </w:pPr>
            <w:r>
              <w:t xml:space="preserve">Rate of increases in pensions </w:t>
            </w:r>
          </w:p>
          <w:p w:rsidR="00CE58F0" w:rsidRDefault="00CE58F0" w:rsidP="00413B8D">
            <w:pPr>
              <w:pStyle w:val="TableText"/>
              <w:spacing w:before="0" w:after="0"/>
            </w:pPr>
            <w:r>
              <w:t xml:space="preserve">in payment (in excess of </w:t>
            </w:r>
          </w:p>
          <w:p w:rsidR="00CE58F0" w:rsidRDefault="00CE58F0" w:rsidP="00413B8D">
            <w:pPr>
              <w:pStyle w:val="TableText"/>
              <w:spacing w:before="0" w:after="0"/>
            </w:pPr>
            <w:r>
              <w:t>Guaranteed Minimum Pension)</w:t>
            </w:r>
          </w:p>
        </w:tc>
        <w:tc>
          <w:tcPr>
            <w:tcW w:w="2245" w:type="dxa"/>
            <w:shd w:val="clear" w:color="auto" w:fill="auto"/>
            <w:vAlign w:val="center"/>
          </w:tcPr>
          <w:p w:rsidR="00CE58F0" w:rsidRPr="002E7BFB" w:rsidRDefault="00CE58F0" w:rsidP="00413B8D">
            <w:pPr>
              <w:pStyle w:val="TableText"/>
              <w:spacing w:before="0" w:after="0"/>
            </w:pPr>
            <w:r w:rsidRPr="002E7BFB">
              <w:t>2.6% per annum</w:t>
            </w:r>
          </w:p>
        </w:tc>
        <w:tc>
          <w:tcPr>
            <w:tcW w:w="2565" w:type="dxa"/>
            <w:shd w:val="clear" w:color="auto" w:fill="auto"/>
            <w:vAlign w:val="center"/>
          </w:tcPr>
          <w:p w:rsidR="00CE58F0" w:rsidRPr="002E7BFB" w:rsidRDefault="00CE58F0" w:rsidP="00413B8D">
            <w:pPr>
              <w:pStyle w:val="TableText"/>
              <w:spacing w:before="0" w:after="0"/>
            </w:pPr>
            <w:r w:rsidRPr="002E7BFB">
              <w:t>2.6% per annum</w:t>
            </w:r>
          </w:p>
        </w:tc>
      </w:tr>
    </w:tbl>
    <w:p w:rsidR="00CE58F0" w:rsidRPr="00622024" w:rsidRDefault="00CE58F0" w:rsidP="00CE58F0">
      <w:pPr>
        <w:pStyle w:val="Header"/>
        <w:spacing w:after="240"/>
        <w:ind w:firstLine="709"/>
        <w:rPr>
          <w:sz w:val="16"/>
          <w:szCs w:val="16"/>
        </w:rPr>
      </w:pPr>
      <w:r w:rsidRPr="00622024">
        <w:rPr>
          <w:sz w:val="16"/>
          <w:szCs w:val="16"/>
        </w:rPr>
        <w:t xml:space="preserve">* allowance </w:t>
      </w:r>
      <w:r>
        <w:rPr>
          <w:sz w:val="16"/>
          <w:szCs w:val="16"/>
        </w:rPr>
        <w:t>w</w:t>
      </w:r>
      <w:r w:rsidRPr="00622024">
        <w:rPr>
          <w:sz w:val="16"/>
          <w:szCs w:val="16"/>
        </w:rPr>
        <w:t xml:space="preserve">as </w:t>
      </w:r>
      <w:r>
        <w:rPr>
          <w:sz w:val="16"/>
          <w:szCs w:val="16"/>
        </w:rPr>
        <w:t xml:space="preserve">also </w:t>
      </w:r>
      <w:r w:rsidRPr="00622024">
        <w:rPr>
          <w:sz w:val="16"/>
          <w:szCs w:val="16"/>
        </w:rPr>
        <w:t>made for short-term public sector p</w:t>
      </w:r>
      <w:r>
        <w:rPr>
          <w:sz w:val="16"/>
          <w:szCs w:val="16"/>
        </w:rPr>
        <w:t>ay restraint over a 3</w:t>
      </w:r>
      <w:r w:rsidRPr="00622024">
        <w:rPr>
          <w:sz w:val="16"/>
          <w:szCs w:val="16"/>
        </w:rPr>
        <w:t xml:space="preserve"> year period</w:t>
      </w:r>
      <w:r>
        <w:rPr>
          <w:sz w:val="16"/>
          <w:szCs w:val="16"/>
        </w:rPr>
        <w:t>.</w:t>
      </w:r>
    </w:p>
    <w:p w:rsidR="00CE58F0" w:rsidRDefault="00CE58F0" w:rsidP="00CE58F0">
      <w:pPr>
        <w:pStyle w:val="Header"/>
        <w:spacing w:after="240"/>
        <w:ind w:left="567"/>
      </w:pPr>
      <w:r>
        <w:t>The assets were assessed at market value.</w:t>
      </w:r>
    </w:p>
    <w:p w:rsidR="00CE58F0" w:rsidRDefault="00CE58F0" w:rsidP="00CE58F0">
      <w:pPr>
        <w:pStyle w:val="Header"/>
        <w:ind w:left="567"/>
      </w:pPr>
      <w:r>
        <w:t xml:space="preserve">The next triennial actuarial valuation of the Fund is due as at </w:t>
      </w:r>
      <w:r w:rsidRPr="002E7BFB">
        <w:t>31 March 2016.</w:t>
      </w:r>
      <w:r>
        <w:t xml:space="preserve">  Based on the results of that</w:t>
      </w:r>
      <w:r w:rsidRPr="002E7BFB">
        <w:t xml:space="preserve"> valuation, the contribution rates payable by the individual employers will be revised with effect from 1 April 2017.</w:t>
      </w:r>
    </w:p>
    <w:p w:rsidR="00CE58F0" w:rsidRDefault="00CE58F0" w:rsidP="00CE58F0">
      <w:pPr>
        <w:pStyle w:val="Header"/>
        <w:ind w:left="567"/>
      </w:pPr>
    </w:p>
    <w:p w:rsidR="00CE58F0" w:rsidRPr="00FE0511" w:rsidRDefault="00CE58F0" w:rsidP="00CE58F0">
      <w:pPr>
        <w:pStyle w:val="Header"/>
        <w:numPr>
          <w:ilvl w:val="0"/>
          <w:numId w:val="2"/>
        </w:numPr>
        <w:tabs>
          <w:tab w:val="clear" w:pos="720"/>
          <w:tab w:val="num" w:pos="567"/>
          <w:tab w:val="num" w:pos="862"/>
        </w:tabs>
        <w:ind w:left="862"/>
        <w:rPr>
          <w:b/>
        </w:rPr>
      </w:pPr>
      <w:r w:rsidRPr="00FE0511">
        <w:rPr>
          <w:b/>
        </w:rPr>
        <w:t xml:space="preserve">Actuarial Present Value of Promised Retirement Benefits </w:t>
      </w:r>
    </w:p>
    <w:p w:rsidR="00CE58F0" w:rsidRPr="008625DB" w:rsidRDefault="00CE58F0" w:rsidP="00CE58F0">
      <w:pPr>
        <w:pStyle w:val="Header"/>
        <w:ind w:left="567"/>
      </w:pPr>
    </w:p>
    <w:p w:rsidR="00CE58F0" w:rsidRDefault="00CE58F0" w:rsidP="00CE58F0">
      <w:pPr>
        <w:pStyle w:val="Header"/>
        <w:ind w:left="567"/>
      </w:pPr>
      <w:r w:rsidRPr="008625DB">
        <w:t>IAS 26 requires the present value of the Fund’s promised retirement benefits to be disclosed, and for this purpose the actuarial assumptions and methodology used should be based on IAS 19 rather than the assumptions and methodology used for funding purposes.</w:t>
      </w:r>
    </w:p>
    <w:p w:rsidR="00CE58F0" w:rsidRPr="008625DB" w:rsidRDefault="00CE58F0" w:rsidP="00CE58F0">
      <w:pPr>
        <w:pStyle w:val="Header"/>
        <w:ind w:left="567"/>
      </w:pPr>
    </w:p>
    <w:p w:rsidR="00CE58F0" w:rsidRDefault="00CE58F0" w:rsidP="00CE58F0">
      <w:pPr>
        <w:pStyle w:val="Header"/>
        <w:ind w:left="567"/>
      </w:pPr>
      <w:r>
        <w:t>To assess the value of the benefits on this basis, we have used the following financial assumptions as at 31 March 2014 (the 31 March 2013 assumptions are included for comparison):</w:t>
      </w:r>
    </w:p>
    <w:p w:rsidR="00CE58F0" w:rsidRDefault="00CE58F0" w:rsidP="00CE58F0">
      <w:pPr>
        <w:pStyle w:val="Header"/>
        <w:ind w:left="567"/>
      </w:pPr>
    </w:p>
    <w:tbl>
      <w:tblPr>
        <w:tblW w:w="0" w:type="auto"/>
        <w:tblInd w:w="639" w:type="dxa"/>
        <w:tblBorders>
          <w:top w:val="single" w:sz="4" w:space="0" w:color="auto"/>
          <w:bottom w:val="single" w:sz="4" w:space="0" w:color="auto"/>
          <w:insideH w:val="single" w:sz="4" w:space="0" w:color="auto"/>
        </w:tblBorders>
        <w:tblLayout w:type="fixed"/>
        <w:tblCellMar>
          <w:left w:w="72" w:type="dxa"/>
          <w:right w:w="72" w:type="dxa"/>
        </w:tblCellMar>
        <w:tblLook w:val="0000" w:firstRow="0" w:lastRow="0" w:firstColumn="0" w:lastColumn="0" w:noHBand="0" w:noVBand="0"/>
      </w:tblPr>
      <w:tblGrid>
        <w:gridCol w:w="3708"/>
        <w:gridCol w:w="2223"/>
        <w:gridCol w:w="2565"/>
      </w:tblGrid>
      <w:tr w:rsidR="00CE58F0" w:rsidRPr="002D05B5" w:rsidTr="00413B8D">
        <w:trPr>
          <w:cantSplit/>
          <w:tblHeader/>
        </w:trPr>
        <w:tc>
          <w:tcPr>
            <w:tcW w:w="3708" w:type="dxa"/>
            <w:tcBorders>
              <w:top w:val="nil"/>
              <w:bottom w:val="nil"/>
            </w:tcBorders>
            <w:shd w:val="clear" w:color="auto" w:fill="002C77"/>
            <w:vAlign w:val="bottom"/>
          </w:tcPr>
          <w:p w:rsidR="00CE58F0" w:rsidRPr="002D05B5" w:rsidRDefault="00CE58F0" w:rsidP="00413B8D">
            <w:pPr>
              <w:pStyle w:val="TableHeadingText"/>
              <w:rPr>
                <w:color w:val="FFFFFF"/>
              </w:rPr>
            </w:pPr>
          </w:p>
        </w:tc>
        <w:tc>
          <w:tcPr>
            <w:tcW w:w="2223" w:type="dxa"/>
            <w:tcBorders>
              <w:top w:val="nil"/>
              <w:bottom w:val="nil"/>
            </w:tcBorders>
            <w:shd w:val="clear" w:color="auto" w:fill="002C77"/>
            <w:vAlign w:val="bottom"/>
          </w:tcPr>
          <w:p w:rsidR="00CE58F0" w:rsidRPr="002D05B5" w:rsidRDefault="00CE58F0" w:rsidP="00413B8D">
            <w:pPr>
              <w:pStyle w:val="TableHeadingText"/>
              <w:rPr>
                <w:color w:val="FFFFFF"/>
              </w:rPr>
            </w:pPr>
            <w:r>
              <w:rPr>
                <w:color w:val="FFFFFF"/>
              </w:rPr>
              <w:t>31 March 2013</w:t>
            </w:r>
          </w:p>
        </w:tc>
        <w:tc>
          <w:tcPr>
            <w:tcW w:w="2565" w:type="dxa"/>
            <w:tcBorders>
              <w:top w:val="nil"/>
              <w:bottom w:val="nil"/>
            </w:tcBorders>
            <w:shd w:val="clear" w:color="auto" w:fill="002C77"/>
            <w:vAlign w:val="bottom"/>
          </w:tcPr>
          <w:p w:rsidR="00CE58F0" w:rsidRPr="002D05B5" w:rsidRDefault="00CE58F0" w:rsidP="00413B8D">
            <w:pPr>
              <w:pStyle w:val="TableHeadingText"/>
              <w:rPr>
                <w:color w:val="FFFFFF"/>
              </w:rPr>
            </w:pPr>
            <w:r>
              <w:rPr>
                <w:color w:val="FFFFFF"/>
              </w:rPr>
              <w:t>31 March 2014</w:t>
            </w:r>
          </w:p>
        </w:tc>
      </w:tr>
      <w:tr w:rsidR="00CE58F0" w:rsidRPr="002C2623" w:rsidTr="00413B8D">
        <w:trPr>
          <w:cantSplit/>
        </w:trPr>
        <w:tc>
          <w:tcPr>
            <w:tcW w:w="3708" w:type="dxa"/>
            <w:tcBorders>
              <w:top w:val="nil"/>
            </w:tcBorders>
            <w:shd w:val="clear" w:color="auto" w:fill="auto"/>
          </w:tcPr>
          <w:p w:rsidR="00CE58F0" w:rsidRPr="002C2623" w:rsidRDefault="00CE58F0" w:rsidP="00413B8D">
            <w:pPr>
              <w:pStyle w:val="TableText"/>
            </w:pPr>
            <w:r w:rsidRPr="002C2623">
              <w:t>Rate of return on investments (discount rate)</w:t>
            </w:r>
          </w:p>
        </w:tc>
        <w:tc>
          <w:tcPr>
            <w:tcW w:w="2223" w:type="dxa"/>
            <w:tcBorders>
              <w:top w:val="nil"/>
            </w:tcBorders>
            <w:shd w:val="clear" w:color="auto" w:fill="auto"/>
          </w:tcPr>
          <w:p w:rsidR="00CE58F0" w:rsidRPr="002C2623" w:rsidRDefault="00CE58F0" w:rsidP="00413B8D">
            <w:pPr>
              <w:pStyle w:val="TableText"/>
              <w:spacing w:before="0" w:after="0"/>
            </w:pPr>
            <w:r w:rsidRPr="002C2623">
              <w:t>4.2% per annum</w:t>
            </w:r>
          </w:p>
        </w:tc>
        <w:tc>
          <w:tcPr>
            <w:tcW w:w="2565" w:type="dxa"/>
            <w:tcBorders>
              <w:top w:val="nil"/>
            </w:tcBorders>
            <w:shd w:val="clear" w:color="auto" w:fill="auto"/>
          </w:tcPr>
          <w:p w:rsidR="00CE58F0" w:rsidRPr="002C2623" w:rsidRDefault="00CE58F0" w:rsidP="00413B8D">
            <w:pPr>
              <w:pStyle w:val="TableText"/>
              <w:spacing w:before="0" w:after="0"/>
            </w:pPr>
            <w:r w:rsidRPr="002C2623">
              <w:t>4.5% per annum</w:t>
            </w:r>
          </w:p>
        </w:tc>
      </w:tr>
      <w:tr w:rsidR="00CE58F0" w:rsidRPr="002C2623" w:rsidTr="00413B8D">
        <w:trPr>
          <w:cantSplit/>
        </w:trPr>
        <w:tc>
          <w:tcPr>
            <w:tcW w:w="3708" w:type="dxa"/>
            <w:shd w:val="clear" w:color="auto" w:fill="auto"/>
          </w:tcPr>
          <w:p w:rsidR="00CE58F0" w:rsidRPr="002C2623" w:rsidRDefault="00CE58F0" w:rsidP="00413B8D">
            <w:pPr>
              <w:pStyle w:val="TableText"/>
            </w:pPr>
            <w:r w:rsidRPr="002C2623">
              <w:t xml:space="preserve">Rate of pay increases </w:t>
            </w:r>
          </w:p>
        </w:tc>
        <w:tc>
          <w:tcPr>
            <w:tcW w:w="2223" w:type="dxa"/>
            <w:shd w:val="clear" w:color="auto" w:fill="auto"/>
          </w:tcPr>
          <w:p w:rsidR="00CE58F0" w:rsidRPr="002C2623" w:rsidRDefault="00CE58F0" w:rsidP="00413B8D">
            <w:pPr>
              <w:pStyle w:val="TableText"/>
            </w:pPr>
            <w:r>
              <w:t>4.4</w:t>
            </w:r>
            <w:r w:rsidRPr="002C2623">
              <w:t>% per annum</w:t>
            </w:r>
          </w:p>
        </w:tc>
        <w:tc>
          <w:tcPr>
            <w:tcW w:w="2565" w:type="dxa"/>
            <w:shd w:val="clear" w:color="auto" w:fill="auto"/>
          </w:tcPr>
          <w:p w:rsidR="00CE58F0" w:rsidRPr="002C2623" w:rsidRDefault="00CE58F0" w:rsidP="00413B8D">
            <w:pPr>
              <w:pStyle w:val="TableText"/>
            </w:pPr>
            <w:r>
              <w:t>3.9</w:t>
            </w:r>
            <w:r w:rsidRPr="002C2623">
              <w:t>% per annum*</w:t>
            </w:r>
          </w:p>
        </w:tc>
      </w:tr>
      <w:tr w:rsidR="00CE58F0" w:rsidRPr="002C2623" w:rsidTr="00413B8D">
        <w:trPr>
          <w:cantSplit/>
        </w:trPr>
        <w:tc>
          <w:tcPr>
            <w:tcW w:w="3708" w:type="dxa"/>
            <w:shd w:val="clear" w:color="auto" w:fill="auto"/>
          </w:tcPr>
          <w:p w:rsidR="00CE58F0" w:rsidRPr="002C2623" w:rsidRDefault="00CE58F0" w:rsidP="00413B8D">
            <w:pPr>
              <w:pStyle w:val="TableText"/>
              <w:spacing w:before="0" w:after="0"/>
            </w:pPr>
            <w:r w:rsidRPr="002C2623">
              <w:t xml:space="preserve">Rate of increases in pensions </w:t>
            </w:r>
          </w:p>
          <w:p w:rsidR="00CE58F0" w:rsidRPr="002C2623" w:rsidRDefault="00CE58F0" w:rsidP="00413B8D">
            <w:pPr>
              <w:pStyle w:val="TableText"/>
              <w:spacing w:before="0" w:after="0"/>
            </w:pPr>
            <w:r w:rsidRPr="002C2623">
              <w:t xml:space="preserve">in payment (in excess of </w:t>
            </w:r>
          </w:p>
          <w:p w:rsidR="00CE58F0" w:rsidRPr="002C2623" w:rsidRDefault="00CE58F0" w:rsidP="00413B8D">
            <w:pPr>
              <w:pStyle w:val="TableText"/>
              <w:spacing w:before="0" w:after="0"/>
            </w:pPr>
            <w:r w:rsidRPr="002C2623">
              <w:t>Guaranteed Minimum Pension)</w:t>
            </w:r>
          </w:p>
        </w:tc>
        <w:tc>
          <w:tcPr>
            <w:tcW w:w="2223" w:type="dxa"/>
            <w:shd w:val="clear" w:color="auto" w:fill="auto"/>
            <w:vAlign w:val="center"/>
          </w:tcPr>
          <w:p w:rsidR="00CE58F0" w:rsidRPr="002C2623" w:rsidRDefault="00CE58F0" w:rsidP="00413B8D">
            <w:pPr>
              <w:pStyle w:val="TableText"/>
              <w:spacing w:before="0" w:after="0"/>
            </w:pPr>
            <w:r w:rsidRPr="002C2623">
              <w:t>2.4% per annum</w:t>
            </w:r>
          </w:p>
        </w:tc>
        <w:tc>
          <w:tcPr>
            <w:tcW w:w="2565" w:type="dxa"/>
            <w:shd w:val="clear" w:color="auto" w:fill="auto"/>
            <w:vAlign w:val="center"/>
          </w:tcPr>
          <w:p w:rsidR="00CE58F0" w:rsidRPr="002C2623" w:rsidRDefault="00CE58F0" w:rsidP="00413B8D">
            <w:pPr>
              <w:pStyle w:val="TableText"/>
              <w:spacing w:before="0" w:after="0"/>
            </w:pPr>
            <w:r w:rsidRPr="002C2623">
              <w:t>2.4% per annum</w:t>
            </w:r>
          </w:p>
        </w:tc>
      </w:tr>
    </w:tbl>
    <w:p w:rsidR="00CE58F0" w:rsidRDefault="00CE58F0" w:rsidP="00CE58F0">
      <w:pPr>
        <w:pStyle w:val="Header"/>
        <w:ind w:firstLine="567"/>
        <w:rPr>
          <w:sz w:val="16"/>
          <w:szCs w:val="16"/>
        </w:rPr>
      </w:pPr>
      <w:r w:rsidRPr="002C2623">
        <w:rPr>
          <w:sz w:val="16"/>
          <w:szCs w:val="16"/>
        </w:rPr>
        <w:t xml:space="preserve"> * includes a corresponding allowance to that made in the actuarial valuation for short-term public sector pay restraint.</w:t>
      </w:r>
    </w:p>
    <w:p w:rsidR="00CE58F0" w:rsidRDefault="00CE58F0" w:rsidP="00CE58F0">
      <w:pPr>
        <w:pStyle w:val="Header"/>
        <w:ind w:firstLine="567"/>
        <w:rPr>
          <w:sz w:val="16"/>
          <w:szCs w:val="16"/>
        </w:rPr>
      </w:pPr>
    </w:p>
    <w:p w:rsidR="00CE58F0" w:rsidRPr="00622024" w:rsidRDefault="00CE58F0" w:rsidP="00CE58F0">
      <w:pPr>
        <w:pStyle w:val="Header"/>
        <w:rPr>
          <w:sz w:val="16"/>
          <w:szCs w:val="16"/>
        </w:rPr>
      </w:pPr>
    </w:p>
    <w:p w:rsidR="00CE58F0" w:rsidRDefault="00CE58F0" w:rsidP="00CE58F0">
      <w:pPr>
        <w:pStyle w:val="Header"/>
        <w:ind w:left="567"/>
      </w:pPr>
      <w:r>
        <w:t xml:space="preserve">The demographic assumptions are the same as those used for funding purposes.  Full details of these assumptions are set out in the </w:t>
      </w:r>
      <w:r w:rsidRPr="009D5730">
        <w:rPr>
          <w:noProof/>
        </w:rPr>
        <w:t>formal</w:t>
      </w:r>
      <w:r>
        <w:rPr>
          <w:noProof/>
        </w:rPr>
        <w:t xml:space="preserve"> report on the actuarial valuation dated March 2014</w:t>
      </w:r>
      <w:r>
        <w:t>.</w:t>
      </w:r>
    </w:p>
    <w:p w:rsidR="00CE58F0" w:rsidRDefault="00CE58F0" w:rsidP="00CE58F0">
      <w:pPr>
        <w:ind w:left="567"/>
      </w:pPr>
    </w:p>
    <w:p w:rsidR="00CE58F0" w:rsidRDefault="00CE58F0" w:rsidP="00CE58F0">
      <w:pPr>
        <w:pStyle w:val="Header"/>
        <w:ind w:left="567"/>
      </w:pPr>
      <w:r>
        <w:t xml:space="preserve">During the year, corporate bond yields increased, resulting in a higher discount rate being used for IAS26 purposes at the </w:t>
      </w:r>
      <w:r w:rsidR="004534A9">
        <w:t>year-end</w:t>
      </w:r>
      <w:r>
        <w:t xml:space="preserve"> than at the beginning of the year (4.5% p.a. versus 4.2% p.a.). The pay increase assumption at the </w:t>
      </w:r>
      <w:r w:rsidR="004534A9">
        <w:t>year-end</w:t>
      </w:r>
      <w:r>
        <w:t xml:space="preserve"> has also changed to allow for a </w:t>
      </w:r>
      <w:r w:rsidRPr="001835CE">
        <w:t>short-term public sector pay restraint</w:t>
      </w:r>
      <w:r>
        <w:t xml:space="preserve"> as detailed in the actuarial valuation alongside a reduction in the long-term rate of real pay growth (1.5% p.a. versus 2.0% p.a.).</w:t>
      </w:r>
    </w:p>
    <w:p w:rsidR="00CE58F0" w:rsidRDefault="00CE58F0" w:rsidP="00CE58F0">
      <w:pPr>
        <w:ind w:left="567"/>
      </w:pPr>
    </w:p>
    <w:p w:rsidR="00CE58F0" w:rsidRDefault="00CE58F0" w:rsidP="00CE58F0">
      <w:pPr>
        <w:ind w:left="567"/>
      </w:pPr>
      <w:r w:rsidRPr="005A76B6">
        <w:t>The value of the Fund’s promised retirement benefits for the purposes of IAS26 as at 31 March 2013 was estimated as £</w:t>
      </w:r>
      <w:r>
        <w:t xml:space="preserve">7,373 </w:t>
      </w:r>
      <w:r w:rsidRPr="005A76B6">
        <w:t xml:space="preserve">million.  The effect of the changes in actuarial </w:t>
      </w:r>
      <w:r w:rsidRPr="005A76B6">
        <w:lastRenderedPageBreak/>
        <w:t xml:space="preserve">assumptions between 31 March 2013 and 31 March 2014 as described above is to decrease the liabilities by </w:t>
      </w:r>
      <w:r w:rsidRPr="005A76B6">
        <w:rPr>
          <w:i/>
          <w:sz w:val="20"/>
        </w:rPr>
        <w:t>c</w:t>
      </w:r>
      <w:r w:rsidRPr="005A76B6">
        <w:t>£</w:t>
      </w:r>
      <w:r>
        <w:t>614</w:t>
      </w:r>
      <w:r w:rsidRPr="005A76B6">
        <w:t xml:space="preserve"> million.  Adding interest over the year increases the liabilities by </w:t>
      </w:r>
    </w:p>
    <w:p w:rsidR="00CE58F0" w:rsidRDefault="00CE58F0" w:rsidP="00CE58F0">
      <w:pPr>
        <w:ind w:left="567"/>
      </w:pPr>
      <w:r w:rsidRPr="002E270B">
        <w:t>c</w:t>
      </w:r>
      <w:r w:rsidRPr="005A76B6">
        <w:t>£</w:t>
      </w:r>
      <w:r>
        <w:t>310</w:t>
      </w:r>
      <w:r w:rsidRPr="005A76B6">
        <w:t xml:space="preserve">million, and allowing for net benefits accrued/paid over the period increases the liabilities by another </w:t>
      </w:r>
      <w:r w:rsidRPr="005A76B6">
        <w:rPr>
          <w:i/>
          <w:sz w:val="20"/>
        </w:rPr>
        <w:t>c£</w:t>
      </w:r>
      <w:r>
        <w:t>33 million (including any increase in liabilities arising as a result of early retirements/augmentations). Finally, allowing for actual vs expected membership experience, which emerged at the 2013 valuation, gives a reduction in liabilities of c£185 million.</w:t>
      </w:r>
    </w:p>
    <w:p w:rsidR="00CE58F0" w:rsidRDefault="00CE58F0" w:rsidP="00CE58F0"/>
    <w:p w:rsidR="00CE58F0" w:rsidRDefault="00CE58F0" w:rsidP="00CE58F0">
      <w:pPr>
        <w:ind w:left="567"/>
      </w:pPr>
      <w:r w:rsidRPr="005A76B6">
        <w:t>The net effect of all the above is that the estimated total value of the Fund’s promised retirement benefits as at 31 March 2014 is £</w:t>
      </w:r>
      <w:r>
        <w:t>6,917</w:t>
      </w:r>
      <w:r w:rsidRPr="005A76B6">
        <w:t xml:space="preserve"> million.</w:t>
      </w:r>
    </w:p>
    <w:p w:rsidR="00CE58F0" w:rsidRPr="002C2091" w:rsidRDefault="00CE58F0" w:rsidP="00CE58F0">
      <w:pPr>
        <w:ind w:left="567"/>
        <w:rPr>
          <w:b/>
        </w:rPr>
      </w:pPr>
    </w:p>
    <w:p w:rsidR="00CE58F0" w:rsidRDefault="00CE58F0" w:rsidP="00CE58F0">
      <w:pPr>
        <w:pStyle w:val="Header"/>
        <w:numPr>
          <w:ilvl w:val="0"/>
          <w:numId w:val="2"/>
        </w:numPr>
        <w:tabs>
          <w:tab w:val="clear" w:pos="720"/>
          <w:tab w:val="num" w:pos="567"/>
          <w:tab w:val="num" w:pos="862"/>
        </w:tabs>
        <w:ind w:left="862"/>
        <w:rPr>
          <w:b/>
        </w:rPr>
      </w:pPr>
      <w:r>
        <w:rPr>
          <w:b/>
        </w:rPr>
        <w:t>Events after the balance sheet date</w:t>
      </w:r>
    </w:p>
    <w:p w:rsidR="00CE58F0" w:rsidRDefault="00CE58F0" w:rsidP="00CE58F0">
      <w:pPr>
        <w:ind w:left="862"/>
      </w:pPr>
    </w:p>
    <w:p w:rsidR="00CE58F0" w:rsidRDefault="00CE58F0" w:rsidP="00CE58F0">
      <w:pPr>
        <w:ind w:left="567"/>
      </w:pPr>
      <w:r>
        <w:t>Greater Manchester Pension Fund has been chosen by the Ministry of Justice to administer the Local Government Pension Scheme in respect of the National Probation Service and Community Rehabilitation Companies with effect from 1</w:t>
      </w:r>
      <w:r w:rsidRPr="000C15C5">
        <w:rPr>
          <w:vertAlign w:val="superscript"/>
        </w:rPr>
        <w:t>st</w:t>
      </w:r>
      <w:r>
        <w:t xml:space="preserve"> June 2014.  Active and deferred members of Lancashire County Pension Fund who are affected by this change transferred to the Greater Manchester Pension Fund on 1</w:t>
      </w:r>
      <w:r w:rsidRPr="000C15C5">
        <w:rPr>
          <w:vertAlign w:val="superscript"/>
        </w:rPr>
        <w:t>st</w:t>
      </w:r>
      <w:r>
        <w:t xml:space="preserve"> June 2014.  Probation Service pensioners who are currently members of the Lancashire County Pension Fund are scheduled to transfer out to Greater Manchester Pension Fund at the end of September 2014.  The transfer share of assets is expected to be in the region of £85m and the share of liabilities of the order of £109m.</w:t>
      </w: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87CD5" w:rsidRDefault="00E87CD5" w:rsidP="00CE58F0">
      <w:pPr>
        <w:pStyle w:val="Header"/>
      </w:pPr>
    </w:p>
    <w:p w:rsidR="00E31FB3" w:rsidRPr="00E87CD5" w:rsidRDefault="00002C05" w:rsidP="000E6874">
      <w:pPr>
        <w:numPr>
          <w:ilvl w:val="0"/>
          <w:numId w:val="42"/>
        </w:numPr>
      </w:pPr>
      <w:r w:rsidRPr="00E87CD5">
        <w:rPr>
          <w:b/>
          <w:snapToGrid w:val="0"/>
          <w:sz w:val="28"/>
          <w:lang w:eastAsia="en-US"/>
        </w:rPr>
        <w:t>Actuarial Valuation</w:t>
      </w:r>
      <w:r w:rsidRPr="00E87CD5">
        <w:t xml:space="preserve"> </w:t>
      </w:r>
    </w:p>
    <w:p w:rsidR="00A222AD" w:rsidRPr="00E87CD5" w:rsidRDefault="006B1017" w:rsidP="00CF19B0">
      <w:pPr>
        <w:spacing w:before="120"/>
        <w:jc w:val="both"/>
      </w:pPr>
      <w:r w:rsidRPr="00E87CD5">
        <w:t xml:space="preserve">An actuarial valuation of the Fund is carried out every three years by the Fund’s </w:t>
      </w:r>
      <w:r w:rsidR="004B2E87" w:rsidRPr="00E87CD5">
        <w:t>a</w:t>
      </w:r>
      <w:r w:rsidRPr="00E87CD5">
        <w:t>ctuary Mercer.  The most recent valuation carried out was at 31 March 20</w:t>
      </w:r>
      <w:r w:rsidR="00E06FC6" w:rsidRPr="00E87CD5">
        <w:t>10</w:t>
      </w:r>
      <w:r w:rsidRPr="00E87CD5">
        <w:t xml:space="preserve"> which determines contribution rates effective from 1 April 20</w:t>
      </w:r>
      <w:r w:rsidR="00E06FC6" w:rsidRPr="00E87CD5">
        <w:t>11</w:t>
      </w:r>
      <w:r w:rsidRPr="00E87CD5">
        <w:t xml:space="preserve"> to 31 March 201</w:t>
      </w:r>
      <w:r w:rsidR="00E06FC6" w:rsidRPr="00E87CD5">
        <w:t>4</w:t>
      </w:r>
      <w:r w:rsidRPr="00E87CD5">
        <w:t xml:space="preserve">.  </w:t>
      </w:r>
    </w:p>
    <w:p w:rsidR="006B1017" w:rsidRPr="00E87CD5" w:rsidRDefault="006B1017" w:rsidP="00CF19B0">
      <w:pPr>
        <w:spacing w:before="120"/>
        <w:jc w:val="both"/>
      </w:pPr>
      <w:r w:rsidRPr="00E87CD5">
        <w:t xml:space="preserve">The Funding objective is to achieve and then maintain assets equal to the </w:t>
      </w:r>
      <w:r w:rsidR="001D14A9" w:rsidRPr="00E87CD5">
        <w:t>F</w:t>
      </w:r>
      <w:r w:rsidRPr="00E87CD5">
        <w:t xml:space="preserve">unding </w:t>
      </w:r>
      <w:r w:rsidR="001D14A9" w:rsidRPr="00E87CD5">
        <w:t>T</w:t>
      </w:r>
      <w:r w:rsidRPr="00E87CD5">
        <w:t xml:space="preserve">arget.  The Funding </w:t>
      </w:r>
      <w:r w:rsidR="001D14A9" w:rsidRPr="00E87CD5">
        <w:t>T</w:t>
      </w:r>
      <w:r w:rsidRPr="00E87CD5">
        <w:t>arget is the present value of 100% of projective accrued liabilities, including allowance for projected final pay.  This is to comply with the requirement</w:t>
      </w:r>
      <w:r w:rsidR="00626516" w:rsidRPr="00E87CD5">
        <w:t>s</w:t>
      </w:r>
      <w:r w:rsidRPr="00E87CD5">
        <w:t xml:space="preserve"> of the LGPS regulations to secure the solvency of the Fund and is </w:t>
      </w:r>
      <w:r w:rsidR="001D14A9" w:rsidRPr="00E87CD5">
        <w:t xml:space="preserve">in </w:t>
      </w:r>
      <w:r w:rsidRPr="00E87CD5">
        <w:t xml:space="preserve">accordance with the </w:t>
      </w:r>
      <w:r w:rsidR="00626516" w:rsidRPr="00E87CD5">
        <w:t>Funding Strategy Statement</w:t>
      </w:r>
      <w:r w:rsidR="005F5DB3" w:rsidRPr="00E87CD5">
        <w:t>.</w:t>
      </w:r>
      <w:r w:rsidR="00611208" w:rsidRPr="00E87CD5">
        <w:t xml:space="preserve"> </w:t>
      </w:r>
      <w:r w:rsidR="00626516" w:rsidRPr="00E87CD5">
        <w:t xml:space="preserve"> The </w:t>
      </w:r>
      <w:r w:rsidR="00626516" w:rsidRPr="00E87CD5">
        <w:lastRenderedPageBreak/>
        <w:t xml:space="preserve">methodology and assumptions by which the Funding </w:t>
      </w:r>
      <w:r w:rsidR="001D14A9" w:rsidRPr="00E87CD5">
        <w:t>T</w:t>
      </w:r>
      <w:r w:rsidR="00626516" w:rsidRPr="00E87CD5">
        <w:t>argets and contribution rates are calculated have also been determined in accordance with the Funding Strategy Statement.</w:t>
      </w:r>
    </w:p>
    <w:p w:rsidR="00626516" w:rsidRPr="00E87CD5" w:rsidRDefault="00626516" w:rsidP="00CF19B0">
      <w:pPr>
        <w:spacing w:before="120"/>
        <w:jc w:val="both"/>
      </w:pPr>
      <w:r w:rsidRPr="00E87CD5">
        <w:t xml:space="preserve">The Funding Strategy Statement specifies a maximum period for achieving full funding of </w:t>
      </w:r>
      <w:r w:rsidR="00091001" w:rsidRPr="00E87CD5">
        <w:t>19</w:t>
      </w:r>
      <w:r w:rsidRPr="00E87CD5">
        <w:t xml:space="preserve"> years</w:t>
      </w:r>
      <w:r w:rsidR="00091001" w:rsidRPr="00E87CD5">
        <w:t xml:space="preserve">, this compares to a maximum period of 22 years adopted at the 2007 valuation in accordance with the then published FSS.  The maximum deficit recovery period is now three years shorter so that the same target date for achieving full funding is being maintained as at the 2007 valuation. </w:t>
      </w:r>
      <w:r w:rsidRPr="00E87CD5">
        <w:t xml:space="preserve"> </w:t>
      </w:r>
      <w:r w:rsidR="00091001" w:rsidRPr="00E87CD5">
        <w:t>The FSS also</w:t>
      </w:r>
      <w:r w:rsidRPr="00E87CD5">
        <w:t xml:space="preserve"> specifies any transitional arrangements (</w:t>
      </w:r>
      <w:r w:rsidR="00091001" w:rsidRPr="00E87CD5">
        <w:t>"</w:t>
      </w:r>
      <w:r w:rsidRPr="00E87CD5">
        <w:t>phasing</w:t>
      </w:r>
      <w:r w:rsidR="00091001" w:rsidRPr="00E87CD5">
        <w:t>"</w:t>
      </w:r>
      <w:r w:rsidRPr="00E87CD5">
        <w:t>) for the implementation of revised employer contribution requirements.</w:t>
      </w:r>
    </w:p>
    <w:p w:rsidR="00E31FB3" w:rsidRPr="00E87CD5" w:rsidRDefault="00626516">
      <w:pPr>
        <w:tabs>
          <w:tab w:val="left" w:pos="10233"/>
        </w:tabs>
        <w:spacing w:before="120"/>
        <w:jc w:val="both"/>
      </w:pPr>
      <w:r w:rsidRPr="00E87CD5">
        <w:t>The valuation (effective from 1 April 20</w:t>
      </w:r>
      <w:r w:rsidR="00156197" w:rsidRPr="00E87CD5">
        <w:t>11</w:t>
      </w:r>
      <w:r w:rsidRPr="00E87CD5">
        <w:t>) revealed a funding level of 8</w:t>
      </w:r>
      <w:r w:rsidR="00156197" w:rsidRPr="00E87CD5">
        <w:t>0</w:t>
      </w:r>
      <w:r w:rsidRPr="00E87CD5">
        <w:t xml:space="preserve">% and an average employer’s contribution rate of </w:t>
      </w:r>
      <w:r w:rsidR="00091001" w:rsidRPr="00E87CD5">
        <w:t>1</w:t>
      </w:r>
      <w:r w:rsidR="00156197" w:rsidRPr="00E87CD5">
        <w:t>9</w:t>
      </w:r>
      <w:r w:rsidR="00091001" w:rsidRPr="00E87CD5">
        <w:t>.</w:t>
      </w:r>
      <w:r w:rsidR="00156197" w:rsidRPr="00E87CD5">
        <w:t>1</w:t>
      </w:r>
      <w:r w:rsidRPr="00E87CD5">
        <w:t xml:space="preserve">%.  </w:t>
      </w:r>
      <w:r w:rsidR="001F5E41" w:rsidRPr="00E87CD5">
        <w:t>There have been a number of material developments which have impacted on the fund since the previous valuation</w:t>
      </w:r>
      <w:r w:rsidR="00EB6A5D" w:rsidRPr="00E87CD5">
        <w:t xml:space="preserve"> in 2007</w:t>
      </w:r>
      <w:r w:rsidR="001F5E41" w:rsidRPr="00E87CD5">
        <w:t>.  The introduction</w:t>
      </w:r>
      <w:r w:rsidR="00EB6A5D" w:rsidRPr="00E87CD5">
        <w:t xml:space="preserve"> of an Inflation Risk Premium (IRP) into the determination of the pension increase assumption used for the </w:t>
      </w:r>
      <w:r w:rsidR="00A63817" w:rsidRPr="00E87CD5">
        <w:t>valuation</w:t>
      </w:r>
      <w:r w:rsidR="00EB6A5D" w:rsidRPr="00E87CD5">
        <w:t xml:space="preserve"> has offset the adverse impact of the fall in real yields since the </w:t>
      </w:r>
      <w:r w:rsidR="00BB3305" w:rsidRPr="00E87CD5">
        <w:t>2007</w:t>
      </w:r>
      <w:r w:rsidR="00EB6A5D" w:rsidRPr="00E87CD5">
        <w:t xml:space="preserve"> valuation.  The effect of the IRP in conjunction with the change from RPI to CPI indexation more than offsets the negative impact of the yields change.  Revisions of the assumptions adopted for the 2010 valuation has overall acted</w:t>
      </w:r>
      <w:r w:rsidR="000A48AF" w:rsidRPr="00E87CD5">
        <w:t xml:space="preserve"> to place a lower value on liabilities and has therefore improved the funding position.</w:t>
      </w:r>
    </w:p>
    <w:p w:rsidR="00626516" w:rsidRPr="00E87CD5" w:rsidRDefault="001F5E41" w:rsidP="00CF19B0">
      <w:pPr>
        <w:spacing w:before="120"/>
        <w:jc w:val="both"/>
      </w:pPr>
      <w:r w:rsidRPr="00E87CD5">
        <w:t>A</w:t>
      </w:r>
      <w:r w:rsidR="004E10D7" w:rsidRPr="00E87CD5">
        <w:t xml:space="preserve">n extract from the </w:t>
      </w:r>
      <w:r w:rsidR="00781D1C" w:rsidRPr="00E87CD5">
        <w:t xml:space="preserve">certified </w:t>
      </w:r>
      <w:r w:rsidR="004E10D7" w:rsidRPr="00E87CD5">
        <w:t>Actuarial Valuation</w:t>
      </w:r>
      <w:r w:rsidR="00781D1C" w:rsidRPr="00E87CD5">
        <w:t xml:space="preserve"> produced by Mercer as at 31 March 20</w:t>
      </w:r>
      <w:r w:rsidR="000A48AF" w:rsidRPr="00E87CD5">
        <w:t>10</w:t>
      </w:r>
      <w:r w:rsidR="00781D1C" w:rsidRPr="00E87CD5">
        <w:t>,</w:t>
      </w:r>
      <w:r w:rsidR="004E10D7" w:rsidRPr="00E87CD5">
        <w:t xml:space="preserve"> detailing the breakdown of the 8</w:t>
      </w:r>
      <w:r w:rsidR="000A48AF" w:rsidRPr="00E87CD5">
        <w:t>0</w:t>
      </w:r>
      <w:r w:rsidR="004E10D7" w:rsidRPr="00E87CD5">
        <w:t xml:space="preserve">% funding </w:t>
      </w:r>
      <w:r w:rsidR="00781D1C" w:rsidRPr="00E87CD5">
        <w:t>level</w:t>
      </w:r>
      <w:r w:rsidR="004E10D7" w:rsidRPr="00E87CD5">
        <w:t xml:space="preserve"> is as follows:</w:t>
      </w:r>
    </w:p>
    <w:p w:rsidR="00B54720" w:rsidRPr="00E87CD5" w:rsidRDefault="00B54720" w:rsidP="00AE240A">
      <w:pPr>
        <w:pStyle w:val="Heading1"/>
      </w:pPr>
      <w:bookmarkStart w:id="1" w:name="_Toc288418495"/>
      <w:r w:rsidRPr="00E87CD5">
        <w:rPr>
          <w:color w:val="0057A6"/>
        </w:rPr>
        <w:t xml:space="preserve">Funding results – </w:t>
      </w:r>
      <w:r w:rsidR="001D14A9" w:rsidRPr="00E87CD5">
        <w:rPr>
          <w:color w:val="0057A6"/>
        </w:rPr>
        <w:t>F</w:t>
      </w:r>
      <w:r w:rsidRPr="00E87CD5">
        <w:rPr>
          <w:color w:val="0057A6"/>
        </w:rPr>
        <w:t xml:space="preserve">unding </w:t>
      </w:r>
      <w:r w:rsidR="001D14A9" w:rsidRPr="00E87CD5">
        <w:rPr>
          <w:color w:val="0057A6"/>
        </w:rPr>
        <w:t>T</w:t>
      </w:r>
      <w:r w:rsidRPr="00E87CD5">
        <w:rPr>
          <w:color w:val="0057A6"/>
        </w:rPr>
        <w:t>arget</w:t>
      </w:r>
      <w:bookmarkEnd w:id="1"/>
    </w:p>
    <w:p w:rsidR="004126C0" w:rsidRPr="00E87CD5" w:rsidRDefault="00200574" w:rsidP="009D1E6A">
      <w:pPr>
        <w:pStyle w:val="OutlineNum2"/>
        <w:numPr>
          <w:ilvl w:val="0"/>
          <w:numId w:val="0"/>
        </w:numPr>
      </w:pPr>
      <w:r w:rsidRPr="00E87CD5">
        <w:rPr>
          <w:noProof/>
        </w:rPr>
        <mc:AlternateContent>
          <mc:Choice Requires="wps">
            <w:drawing>
              <wp:anchor distT="0" distB="0" distL="114300" distR="114300" simplePos="0" relativeHeight="251658240" behindDoc="0" locked="0" layoutInCell="1" allowOverlap="1" wp14:anchorId="5F38CDAB" wp14:editId="2136FD3B">
                <wp:simplePos x="0" y="0"/>
                <wp:positionH relativeFrom="column">
                  <wp:posOffset>1126490</wp:posOffset>
                </wp:positionH>
                <wp:positionV relativeFrom="paragraph">
                  <wp:posOffset>2125345</wp:posOffset>
                </wp:positionV>
                <wp:extent cx="1304925" cy="276225"/>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191" w:rsidRPr="003F3C6A" w:rsidRDefault="00480191" w:rsidP="004126C0">
                            <w:pPr>
                              <w:jc w:val="center"/>
                              <w:rPr>
                                <w:rFonts w:cs="Arial"/>
                                <w:b/>
                                <w:sz w:val="18"/>
                                <w:szCs w:val="18"/>
                              </w:rPr>
                            </w:pPr>
                            <w:r>
                              <w:rPr>
                                <w:rFonts w:cs="Arial"/>
                                <w:b/>
                                <w:sz w:val="18"/>
                                <w:szCs w:val="18"/>
                              </w:rPr>
                              <w:t>31 March</w:t>
                            </w:r>
                            <w:r w:rsidRPr="003F3C6A">
                              <w:rPr>
                                <w:rFonts w:cs="Arial"/>
                                <w:b/>
                                <w:sz w:val="18"/>
                                <w:szCs w:val="18"/>
                              </w:rPr>
                              <w:t xml:space="preserve"> 20</w:t>
                            </w:r>
                            <w:r>
                              <w:rPr>
                                <w:rFonts w:cs="Arial"/>
                                <w:b/>
                                <w:sz w:val="18"/>
                                <w:szCs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CDAB" id="Text Box 12" o:spid="_x0000_s1028" type="#_x0000_t202" style="position:absolute;margin-left:88.7pt;margin-top:167.35pt;width:102.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B4twIAAMI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" filled="f" stroked="f">
                <v:textbox>
                  <w:txbxContent>
                    <w:p w:rsidR="00480191" w:rsidRPr="003F3C6A" w:rsidRDefault="00480191" w:rsidP="004126C0">
                      <w:pPr>
                        <w:jc w:val="center"/>
                        <w:rPr>
                          <w:rFonts w:cs="Arial"/>
                          <w:b/>
                          <w:sz w:val="18"/>
                          <w:szCs w:val="18"/>
                        </w:rPr>
                      </w:pPr>
                      <w:r>
                        <w:rPr>
                          <w:rFonts w:cs="Arial"/>
                          <w:b/>
                          <w:sz w:val="18"/>
                          <w:szCs w:val="18"/>
                        </w:rPr>
                        <w:t>31 March</w:t>
                      </w:r>
                      <w:r w:rsidRPr="003F3C6A">
                        <w:rPr>
                          <w:rFonts w:cs="Arial"/>
                          <w:b/>
                          <w:sz w:val="18"/>
                          <w:szCs w:val="18"/>
                        </w:rPr>
                        <w:t xml:space="preserve"> 20</w:t>
                      </w:r>
                      <w:r>
                        <w:rPr>
                          <w:rFonts w:cs="Arial"/>
                          <w:b/>
                          <w:sz w:val="18"/>
                          <w:szCs w:val="18"/>
                        </w:rPr>
                        <w:t>10</w:t>
                      </w:r>
                    </w:p>
                  </w:txbxContent>
                </v:textbox>
              </v:shape>
            </w:pict>
          </mc:Fallback>
        </mc:AlternateContent>
      </w:r>
      <w:r w:rsidRPr="00E87CD5">
        <w:rPr>
          <w:noProof/>
        </w:rPr>
        <mc:AlternateContent>
          <mc:Choice Requires="wps">
            <w:drawing>
              <wp:anchor distT="0" distB="0" distL="114300" distR="114300" simplePos="0" relativeHeight="251660288" behindDoc="0" locked="0" layoutInCell="0" allowOverlap="1" wp14:anchorId="559D7E53" wp14:editId="16041158">
                <wp:simplePos x="0" y="0"/>
                <wp:positionH relativeFrom="column">
                  <wp:posOffset>2969260</wp:posOffset>
                </wp:positionH>
                <wp:positionV relativeFrom="paragraph">
                  <wp:posOffset>2125345</wp:posOffset>
                </wp:positionV>
                <wp:extent cx="1557655" cy="21907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191" w:rsidRPr="00B2401A" w:rsidRDefault="00480191" w:rsidP="004126C0">
                            <w:pPr>
                              <w:jc w:val="center"/>
                              <w:rPr>
                                <w:rFonts w:cs="Arial"/>
                                <w:b/>
                                <w:sz w:val="18"/>
                                <w:szCs w:val="18"/>
                              </w:rPr>
                            </w:pPr>
                            <w:r>
                              <w:rPr>
                                <w:rFonts w:cs="Arial"/>
                                <w:b/>
                                <w:sz w:val="18"/>
                                <w:szCs w:val="18"/>
                              </w:rPr>
                              <w:t>31 March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D7E53" id="Text Box 13" o:spid="_x0000_s1029" type="#_x0000_t202" style="position:absolute;margin-left:233.8pt;margin-top:167.35pt;width:122.6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" o:allowincell="f" filled="f" stroked="f">
                <v:textbox>
                  <w:txbxContent>
                    <w:p w:rsidR="00480191" w:rsidRPr="00B2401A" w:rsidRDefault="00480191" w:rsidP="004126C0">
                      <w:pPr>
                        <w:jc w:val="center"/>
                        <w:rPr>
                          <w:rFonts w:cs="Arial"/>
                          <w:b/>
                          <w:sz w:val="18"/>
                          <w:szCs w:val="18"/>
                        </w:rPr>
                      </w:pPr>
                      <w:r>
                        <w:rPr>
                          <w:rFonts w:cs="Arial"/>
                          <w:b/>
                          <w:sz w:val="18"/>
                          <w:szCs w:val="18"/>
                        </w:rPr>
                        <w:t>31 March 2007</w:t>
                      </w:r>
                    </w:p>
                  </w:txbxContent>
                </v:textbox>
              </v:shape>
            </w:pict>
          </mc:Fallback>
        </mc:AlternateContent>
      </w:r>
      <w:r w:rsidRPr="00E87CD5">
        <w:rPr>
          <w:noProof/>
          <w:sz w:val="24"/>
          <w:szCs w:val="24"/>
        </w:rPr>
        <mc:AlternateContent>
          <mc:Choice Requires="wps">
            <w:drawing>
              <wp:anchor distT="0" distB="0" distL="114300" distR="114300" simplePos="0" relativeHeight="251655168" behindDoc="0" locked="0" layoutInCell="1" allowOverlap="1" wp14:anchorId="351A129E" wp14:editId="44491356">
                <wp:simplePos x="0" y="0"/>
                <wp:positionH relativeFrom="column">
                  <wp:posOffset>3582670</wp:posOffset>
                </wp:positionH>
                <wp:positionV relativeFrom="paragraph">
                  <wp:posOffset>625475</wp:posOffset>
                </wp:positionV>
                <wp:extent cx="858520" cy="3429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191" w:rsidRDefault="00480191" w:rsidP="004126C0">
                            <w:pPr>
                              <w:jc w:val="center"/>
                              <w:rPr>
                                <w:rFonts w:cs="Arial"/>
                                <w:b/>
                                <w:sz w:val="18"/>
                                <w:szCs w:val="18"/>
                              </w:rPr>
                            </w:pPr>
                            <w:r>
                              <w:rPr>
                                <w:rFonts w:cs="Arial"/>
                                <w:b/>
                                <w:sz w:val="18"/>
                                <w:szCs w:val="18"/>
                              </w:rPr>
                              <w:t>Total</w:t>
                            </w:r>
                          </w:p>
                          <w:p w:rsidR="00480191" w:rsidRPr="00A142C4" w:rsidRDefault="00480191" w:rsidP="004126C0">
                            <w:pPr>
                              <w:jc w:val="center"/>
                              <w:rPr>
                                <w:rFonts w:cs="Arial"/>
                                <w:b/>
                                <w:sz w:val="18"/>
                                <w:szCs w:val="18"/>
                              </w:rPr>
                            </w:pPr>
                            <w:r>
                              <w:rPr>
                                <w:rFonts w:cs="Arial"/>
                                <w:b/>
                                <w:sz w:val="18"/>
                                <w:szCs w:val="18"/>
                              </w:rPr>
                              <w:t>£4,399m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129E" id="Text Box 5" o:spid="_x0000_s1030" type="#_x0000_t202" style="position:absolute;margin-left:282.1pt;margin-top:49.25pt;width:67.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cJ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" filled="f" stroked="f">
                <v:textbox>
                  <w:txbxContent>
                    <w:p w:rsidR="00480191" w:rsidRDefault="00480191" w:rsidP="004126C0">
                      <w:pPr>
                        <w:jc w:val="center"/>
                        <w:rPr>
                          <w:rFonts w:cs="Arial"/>
                          <w:b/>
                          <w:sz w:val="18"/>
                          <w:szCs w:val="18"/>
                        </w:rPr>
                      </w:pPr>
                      <w:r>
                        <w:rPr>
                          <w:rFonts w:cs="Arial"/>
                          <w:b/>
                          <w:sz w:val="18"/>
                          <w:szCs w:val="18"/>
                        </w:rPr>
                        <w:t>Total</w:t>
                      </w:r>
                    </w:p>
                    <w:p w:rsidR="00480191" w:rsidRPr="00A142C4" w:rsidRDefault="00480191" w:rsidP="004126C0">
                      <w:pPr>
                        <w:jc w:val="center"/>
                        <w:rPr>
                          <w:rFonts w:cs="Arial"/>
                          <w:b/>
                          <w:sz w:val="18"/>
                          <w:szCs w:val="18"/>
                        </w:rPr>
                      </w:pPr>
                      <w:r>
                        <w:rPr>
                          <w:rFonts w:cs="Arial"/>
                          <w:b/>
                          <w:sz w:val="18"/>
                          <w:szCs w:val="18"/>
                        </w:rPr>
                        <w:t>£4,399m</w:t>
                      </w:r>
                    </w:p>
                  </w:txbxContent>
                </v:textbox>
              </v:shape>
            </w:pict>
          </mc:Fallback>
        </mc:AlternateContent>
      </w:r>
      <w:r w:rsidRPr="00E87CD5">
        <w:rPr>
          <w:noProof/>
          <w:sz w:val="24"/>
          <w:szCs w:val="24"/>
        </w:rPr>
        <mc:AlternateContent>
          <mc:Choice Requires="wps">
            <w:drawing>
              <wp:anchor distT="0" distB="0" distL="114300" distR="114300" simplePos="0" relativeHeight="251654144" behindDoc="0" locked="0" layoutInCell="1" allowOverlap="1" wp14:anchorId="42779F36" wp14:editId="0223B3B6">
                <wp:simplePos x="0" y="0"/>
                <wp:positionH relativeFrom="column">
                  <wp:posOffset>1997710</wp:posOffset>
                </wp:positionH>
                <wp:positionV relativeFrom="paragraph">
                  <wp:posOffset>625475</wp:posOffset>
                </wp:positionV>
                <wp:extent cx="792480" cy="34290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191" w:rsidRDefault="00480191" w:rsidP="004126C0">
                            <w:pPr>
                              <w:jc w:val="center"/>
                              <w:rPr>
                                <w:rFonts w:cs="Arial"/>
                                <w:b/>
                                <w:sz w:val="18"/>
                                <w:szCs w:val="18"/>
                              </w:rPr>
                            </w:pPr>
                            <w:r>
                              <w:rPr>
                                <w:rFonts w:cs="Arial"/>
                                <w:b/>
                                <w:sz w:val="18"/>
                                <w:szCs w:val="18"/>
                              </w:rPr>
                              <w:t>Total</w:t>
                            </w:r>
                          </w:p>
                          <w:p w:rsidR="00480191" w:rsidRPr="00A142C4" w:rsidRDefault="00480191" w:rsidP="004126C0">
                            <w:pPr>
                              <w:jc w:val="center"/>
                              <w:rPr>
                                <w:rFonts w:cs="Arial"/>
                                <w:b/>
                                <w:sz w:val="18"/>
                                <w:szCs w:val="18"/>
                              </w:rPr>
                            </w:pPr>
                            <w:r>
                              <w:rPr>
                                <w:rFonts w:cs="Arial"/>
                                <w:b/>
                                <w:sz w:val="18"/>
                                <w:szCs w:val="18"/>
                              </w:rPr>
                              <w:t>£4,955m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9F36" id="Text Box 4" o:spid="_x0000_s1031" type="#_x0000_t202" style="position:absolute;margin-left:157.3pt;margin-top:49.25pt;width:6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6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" filled="f" stroked="f">
                <v:textbox>
                  <w:txbxContent>
                    <w:p w:rsidR="00480191" w:rsidRDefault="00480191" w:rsidP="004126C0">
                      <w:pPr>
                        <w:jc w:val="center"/>
                        <w:rPr>
                          <w:rFonts w:cs="Arial"/>
                          <w:b/>
                          <w:sz w:val="18"/>
                          <w:szCs w:val="18"/>
                        </w:rPr>
                      </w:pPr>
                      <w:r>
                        <w:rPr>
                          <w:rFonts w:cs="Arial"/>
                          <w:b/>
                          <w:sz w:val="18"/>
                          <w:szCs w:val="18"/>
                        </w:rPr>
                        <w:t>Total</w:t>
                      </w:r>
                    </w:p>
                    <w:p w:rsidR="00480191" w:rsidRPr="00A142C4" w:rsidRDefault="00480191" w:rsidP="004126C0">
                      <w:pPr>
                        <w:jc w:val="center"/>
                        <w:rPr>
                          <w:rFonts w:cs="Arial"/>
                          <w:b/>
                          <w:sz w:val="18"/>
                          <w:szCs w:val="18"/>
                        </w:rPr>
                      </w:pPr>
                      <w:r>
                        <w:rPr>
                          <w:rFonts w:cs="Arial"/>
                          <w:b/>
                          <w:sz w:val="18"/>
                          <w:szCs w:val="18"/>
                        </w:rPr>
                        <w:t>£4,955m</w:t>
                      </w:r>
                    </w:p>
                  </w:txbxContent>
                </v:textbox>
              </v:shape>
            </w:pict>
          </mc:Fallback>
        </mc:AlternateContent>
      </w:r>
      <w:r w:rsidR="004126C0" w:rsidRPr="00E87CD5">
        <w:rPr>
          <w:sz w:val="24"/>
          <w:szCs w:val="24"/>
        </w:rPr>
        <w:t xml:space="preserve">The market value of the Fund’s assets at the valuation date is compared with the value of the Fund’s past service liabilities (the </w:t>
      </w:r>
      <w:r w:rsidR="001D14A9" w:rsidRPr="00E87CD5">
        <w:rPr>
          <w:sz w:val="24"/>
          <w:szCs w:val="24"/>
        </w:rPr>
        <w:t>F</w:t>
      </w:r>
      <w:r w:rsidR="004126C0" w:rsidRPr="00E87CD5">
        <w:rPr>
          <w:sz w:val="24"/>
          <w:szCs w:val="24"/>
        </w:rPr>
        <w:t xml:space="preserve">unding </w:t>
      </w:r>
      <w:r w:rsidR="001D14A9" w:rsidRPr="00E87CD5">
        <w:rPr>
          <w:sz w:val="24"/>
          <w:szCs w:val="24"/>
        </w:rPr>
        <w:t>T</w:t>
      </w:r>
      <w:r w:rsidR="004126C0" w:rsidRPr="00E87CD5">
        <w:rPr>
          <w:sz w:val="24"/>
          <w:szCs w:val="24"/>
        </w:rPr>
        <w:t xml:space="preserve">arget) below.  The funding position at the previous valuation is shown for comparison. </w:t>
      </w:r>
      <w:r w:rsidRPr="00E87CD5">
        <w:rPr>
          <w:noProof/>
        </w:rPr>
        <mc:AlternateContent>
          <mc:Choice Requires="wpg">
            <w:drawing>
              <wp:anchor distT="0" distB="0" distL="114300" distR="114300" simplePos="0" relativeHeight="251657216" behindDoc="0" locked="0" layoutInCell="1" allowOverlap="1" wp14:anchorId="2EB1FF78" wp14:editId="7DA27AD4">
                <wp:simplePos x="0" y="0"/>
                <wp:positionH relativeFrom="column">
                  <wp:posOffset>3343910</wp:posOffset>
                </wp:positionH>
                <wp:positionV relativeFrom="paragraph">
                  <wp:posOffset>1043940</wp:posOffset>
                </wp:positionV>
                <wp:extent cx="800100" cy="342900"/>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42900"/>
                          <a:chOff x="7547" y="8947"/>
                          <a:chExt cx="1260" cy="540"/>
                        </a:xfrm>
                      </wpg:grpSpPr>
                      <wps:wsp>
                        <wps:cNvPr id="13" name="Text Box 10"/>
                        <wps:cNvSpPr txBox="1">
                          <a:spLocks noChangeArrowheads="1"/>
                        </wps:cNvSpPr>
                        <wps:spPr bwMode="auto">
                          <a:xfrm>
                            <a:off x="7547" y="8947"/>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191" w:rsidRPr="00580A93" w:rsidRDefault="00480191" w:rsidP="004126C0">
                              <w:pPr>
                                <w:rPr>
                                  <w:rFonts w:cs="Arial"/>
                                  <w:b/>
                                  <w:sz w:val="18"/>
                                  <w:szCs w:val="18"/>
                                </w:rPr>
                              </w:pPr>
                              <w:r>
                                <w:rPr>
                                  <w:rFonts w:cs="Arial"/>
                                  <w:b/>
                                  <w:sz w:val="18"/>
                                  <w:szCs w:val="18"/>
                                </w:rPr>
                                <w:t xml:space="preserve">   84</w:t>
                              </w:r>
                              <w:r w:rsidRPr="00580A93">
                                <w:rPr>
                                  <w:rFonts w:cs="Arial"/>
                                  <w:b/>
                                  <w:sz w:val="18"/>
                                  <w:szCs w:val="18"/>
                                </w:rPr>
                                <w:t>%</w:t>
                              </w:r>
                            </w:p>
                            <w:p w:rsidR="00480191" w:rsidRPr="00580A93" w:rsidRDefault="00480191" w:rsidP="004126C0">
                              <w:pPr>
                                <w:rPr>
                                  <w:rFonts w:cs="Arial"/>
                                  <w:b/>
                                  <w:sz w:val="18"/>
                                  <w:szCs w:val="18"/>
                                </w:rPr>
                              </w:pPr>
                            </w:p>
                          </w:txbxContent>
                        </wps:txbx>
                        <wps:bodyPr rot="0" vert="horz" wrap="square" lIns="91440" tIns="45720" rIns="91440" bIns="45720" anchor="t" anchorCtr="0" upright="1">
                          <a:noAutofit/>
                        </wps:bodyPr>
                      </wps:wsp>
                      <wps:wsp>
                        <wps:cNvPr id="14" name="Line 11"/>
                        <wps:cNvCnPr>
                          <a:cxnSpLocks noChangeShapeType="1"/>
                        </wps:cNvCnPr>
                        <wps:spPr bwMode="auto">
                          <a:xfrm>
                            <a:off x="7730" y="9344"/>
                            <a:ext cx="5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1FF78" id="Group 9" o:spid="_x0000_s1032" style="position:absolute;margin-left:263.3pt;margin-top:82.2pt;width:63pt;height:27pt;z-index:251657216" coordorigin="7547,8947"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">
                <v:shape id="Text Box 10" o:spid="_x0000_s1033" type="#_x0000_t202" style="position:absolute;left:7547;top:894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80191" w:rsidRPr="00580A93" w:rsidRDefault="00480191" w:rsidP="004126C0">
                        <w:pPr>
                          <w:rPr>
                            <w:rFonts w:cs="Arial"/>
                            <w:b/>
                            <w:sz w:val="18"/>
                            <w:szCs w:val="18"/>
                          </w:rPr>
                        </w:pPr>
                        <w:r>
                          <w:rPr>
                            <w:rFonts w:cs="Arial"/>
                            <w:b/>
                            <w:sz w:val="18"/>
                            <w:szCs w:val="18"/>
                          </w:rPr>
                          <w:t xml:space="preserve">   84</w:t>
                        </w:r>
                        <w:r w:rsidRPr="00580A93">
                          <w:rPr>
                            <w:rFonts w:cs="Arial"/>
                            <w:b/>
                            <w:sz w:val="18"/>
                            <w:szCs w:val="18"/>
                          </w:rPr>
                          <w:t>%</w:t>
                        </w:r>
                      </w:p>
                      <w:p w:rsidR="00480191" w:rsidRPr="00580A93" w:rsidRDefault="00480191" w:rsidP="004126C0">
                        <w:pPr>
                          <w:rPr>
                            <w:rFonts w:cs="Arial"/>
                            <w:b/>
                            <w:sz w:val="18"/>
                            <w:szCs w:val="18"/>
                          </w:rPr>
                        </w:pPr>
                      </w:p>
                    </w:txbxContent>
                  </v:textbox>
                </v:shape>
                <v:line id="Line 11" o:spid="_x0000_s1034" style="position:absolute;visibility:visible;mso-wrap-style:square" from="7730,9344" to="8270,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RxcIAAADbAAAADwAAAGRycy9kb3ducmV2LnhtbERPTWvCQBC9F/wPywhepG5iRUp0laII&#10;Wmi1VjwP2TEJzc6G7KqJv94VhN7m8T5nOm9MKS5Uu8KygngQgSBOrS44U3D4Xb2+g3AeWWNpmRS0&#10;5GA+67xMMdH2yj902ftMhBB2CSrIva8SKV2ak0E3sBVx4E62NugDrDOpa7yGcFPKYRSNpcGCQ0OO&#10;FS1ySv/2Z6Pgk27L8aa//cKRj3fH9q0ft8W3Ur1u8zEB4anx/+Kne63D/BE8fg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tRxcIAAADbAAAADwAAAAAAAAAAAAAA&#10;AAChAgAAZHJzL2Rvd25yZXYueG1sUEsFBgAAAAAEAAQA+QAAAJADAAAAAA==&#10;" strokeweight="2.25pt">
                  <v:stroke endarrow="block"/>
                </v:line>
              </v:group>
            </w:pict>
          </mc:Fallback>
        </mc:AlternateContent>
      </w:r>
      <w:r w:rsidRPr="00E87CD5">
        <w:rPr>
          <w:noProof/>
        </w:rPr>
        <mc:AlternateContent>
          <mc:Choice Requires="wpg">
            <w:drawing>
              <wp:anchor distT="0" distB="0" distL="114300" distR="114300" simplePos="0" relativeHeight="251656192" behindDoc="0" locked="0" layoutInCell="1" allowOverlap="1" wp14:anchorId="5D4F1EDC" wp14:editId="3F5FC3E6">
                <wp:simplePos x="0" y="0"/>
                <wp:positionH relativeFrom="column">
                  <wp:posOffset>1742440</wp:posOffset>
                </wp:positionH>
                <wp:positionV relativeFrom="paragraph">
                  <wp:posOffset>1019810</wp:posOffset>
                </wp:positionV>
                <wp:extent cx="800100" cy="342900"/>
                <wp:effectExtent l="0" t="0" r="0"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42900"/>
                          <a:chOff x="4428" y="8947"/>
                          <a:chExt cx="1260" cy="540"/>
                        </a:xfrm>
                      </wpg:grpSpPr>
                      <wps:wsp>
                        <wps:cNvPr id="10" name="Text Box 7"/>
                        <wps:cNvSpPr txBox="1">
                          <a:spLocks noChangeArrowheads="1"/>
                        </wps:cNvSpPr>
                        <wps:spPr bwMode="auto">
                          <a:xfrm>
                            <a:off x="4428" y="8947"/>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191" w:rsidRPr="00580A93" w:rsidRDefault="00480191" w:rsidP="004126C0">
                              <w:pPr>
                                <w:rPr>
                                  <w:rFonts w:cs="Arial"/>
                                  <w:b/>
                                  <w:sz w:val="18"/>
                                  <w:szCs w:val="18"/>
                                </w:rPr>
                              </w:pPr>
                              <w:r>
                                <w:rPr>
                                  <w:rFonts w:cs="Arial"/>
                                  <w:b/>
                                  <w:sz w:val="18"/>
                                  <w:szCs w:val="18"/>
                                </w:rPr>
                                <w:t xml:space="preserve">   80</w:t>
                              </w:r>
                              <w:r w:rsidRPr="00580A93">
                                <w:rPr>
                                  <w:rFonts w:cs="Arial"/>
                                  <w:b/>
                                  <w:sz w:val="18"/>
                                  <w:szCs w:val="18"/>
                                </w:rPr>
                                <w:t>%</w:t>
                              </w:r>
                            </w:p>
                            <w:p w:rsidR="00480191" w:rsidRPr="00580A93" w:rsidRDefault="00480191" w:rsidP="004126C0">
                              <w:pPr>
                                <w:rPr>
                                  <w:rFonts w:cs="Arial"/>
                                  <w:b/>
                                  <w:sz w:val="18"/>
                                  <w:szCs w:val="18"/>
                                </w:rPr>
                              </w:pPr>
                            </w:p>
                          </w:txbxContent>
                        </wps:txbx>
                        <wps:bodyPr rot="0" vert="horz" wrap="square" lIns="91440" tIns="45720" rIns="91440" bIns="45720" anchor="t" anchorCtr="0" upright="1">
                          <a:noAutofit/>
                        </wps:bodyPr>
                      </wps:wsp>
                      <wps:wsp>
                        <wps:cNvPr id="11" name="Line 8"/>
                        <wps:cNvCnPr>
                          <a:cxnSpLocks noChangeShapeType="1"/>
                        </wps:cNvCnPr>
                        <wps:spPr bwMode="auto">
                          <a:xfrm>
                            <a:off x="4598" y="9346"/>
                            <a:ext cx="5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F1EDC" id="Group 6" o:spid="_x0000_s1035" style="position:absolute;margin-left:137.2pt;margin-top:80.3pt;width:63pt;height:27pt;z-index:251656192" coordorigin="4428,8947"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">
                <v:shape id="Text Box 7" o:spid="_x0000_s1036" type="#_x0000_t202" style="position:absolute;left:4428;top:894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80191" w:rsidRPr="00580A93" w:rsidRDefault="00480191" w:rsidP="004126C0">
                        <w:pPr>
                          <w:rPr>
                            <w:rFonts w:cs="Arial"/>
                            <w:b/>
                            <w:sz w:val="18"/>
                            <w:szCs w:val="18"/>
                          </w:rPr>
                        </w:pPr>
                        <w:r>
                          <w:rPr>
                            <w:rFonts w:cs="Arial"/>
                            <w:b/>
                            <w:sz w:val="18"/>
                            <w:szCs w:val="18"/>
                          </w:rPr>
                          <w:t xml:space="preserve">   80</w:t>
                        </w:r>
                        <w:r w:rsidRPr="00580A93">
                          <w:rPr>
                            <w:rFonts w:cs="Arial"/>
                            <w:b/>
                            <w:sz w:val="18"/>
                            <w:szCs w:val="18"/>
                          </w:rPr>
                          <w:t>%</w:t>
                        </w:r>
                      </w:p>
                      <w:p w:rsidR="00480191" w:rsidRPr="00580A93" w:rsidRDefault="00480191" w:rsidP="004126C0">
                        <w:pPr>
                          <w:rPr>
                            <w:rFonts w:cs="Arial"/>
                            <w:b/>
                            <w:sz w:val="18"/>
                            <w:szCs w:val="18"/>
                          </w:rPr>
                        </w:pPr>
                      </w:p>
                    </w:txbxContent>
                  </v:textbox>
                </v:shape>
                <v:line id="Line 8" o:spid="_x0000_s1037" style="position:absolute;visibility:visible;mso-wrap-style:square" from="4598,9346" to="5138,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yXcMAAADbAAAADwAAAGRycy9kb3ducmV2LnhtbERP22rCQBB9F/yHZYS+SN2kipQ0GxFL&#10;oQq13ujzkB2TYHY2ZLea+PXdQqFvczjXSRedqcWVWldZVhBPIhDEudUVFwpOx7fHZxDOI2usLZOC&#10;nhwssuEgxUTbG+/pevCFCCHsElRQet8kUrq8JINuYhviwJ1ta9AH2BZSt3gL4aaWT1E0lwYrDg0l&#10;NrQqKb8cvo2CDd1f5+vx5wfOfLz76qfjuK+2Sj2MuuULCE+d/xf/ud91mB/D7y/h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c8l3DAAAA2wAAAA8AAAAAAAAAAAAA&#10;AAAAoQIAAGRycy9kb3ducmV2LnhtbFBLBQYAAAAABAAEAPkAAACRAwAAAAA=&#10;" strokeweight="2.25pt">
                  <v:stroke endarrow="block"/>
                </v:line>
              </v:group>
            </w:pict>
          </mc:Fallback>
        </mc:AlternateContent>
      </w:r>
      <w:r w:rsidR="00B766B8" w:rsidRPr="00E87CD5">
        <w:rPr>
          <w:noProof/>
        </w:rPr>
        <w:drawing>
          <wp:inline distT="0" distB="0" distL="0" distR="0" wp14:anchorId="57EB308F" wp14:editId="74B2CE44">
            <wp:extent cx="6172200" cy="2457450"/>
            <wp:effectExtent l="19050" t="0" r="1905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0D7" w:rsidRPr="00E87CD5" w:rsidRDefault="004E10D7" w:rsidP="00CF19B0">
      <w:pPr>
        <w:spacing w:before="120"/>
        <w:jc w:val="both"/>
      </w:pPr>
    </w:p>
    <w:p w:rsidR="00626516" w:rsidRPr="00E87CD5" w:rsidRDefault="00BB3305" w:rsidP="00CF19B0">
      <w:pPr>
        <w:spacing w:before="120"/>
        <w:jc w:val="both"/>
      </w:pPr>
      <w:r w:rsidRPr="00E87CD5">
        <w:t>The employer contributions for 201</w:t>
      </w:r>
      <w:r w:rsidR="00971F5F" w:rsidRPr="00E87CD5">
        <w:t>1</w:t>
      </w:r>
      <w:r w:rsidRPr="00E87CD5">
        <w:t>/201</w:t>
      </w:r>
      <w:r w:rsidR="00971F5F" w:rsidRPr="00E87CD5">
        <w:t>2</w:t>
      </w:r>
      <w:r w:rsidRPr="00E87CD5">
        <w:t xml:space="preserve"> are based on the 20</w:t>
      </w:r>
      <w:r w:rsidR="00971F5F" w:rsidRPr="00E87CD5">
        <w:t>10</w:t>
      </w:r>
      <w:r w:rsidRPr="00E87CD5">
        <w:t xml:space="preserve"> valuation and t</w:t>
      </w:r>
      <w:r w:rsidR="00626516" w:rsidRPr="00E87CD5">
        <w:t>he recommended employer contribution</w:t>
      </w:r>
      <w:r w:rsidRPr="00E87CD5">
        <w:t>s</w:t>
      </w:r>
      <w:r w:rsidR="00626516" w:rsidRPr="00E87CD5">
        <w:t xml:space="preserve"> for the period 1 April 20</w:t>
      </w:r>
      <w:r w:rsidR="00971F5F" w:rsidRPr="00E87CD5">
        <w:t>11</w:t>
      </w:r>
      <w:r w:rsidR="00626516" w:rsidRPr="00E87CD5">
        <w:t xml:space="preserve"> to 31 March 20</w:t>
      </w:r>
      <w:r w:rsidR="00392E61" w:rsidRPr="00E87CD5">
        <w:t>1</w:t>
      </w:r>
      <w:r w:rsidR="00D319B8" w:rsidRPr="00E87CD5">
        <w:t>4</w:t>
      </w:r>
      <w:r w:rsidR="00626516" w:rsidRPr="00E87CD5">
        <w:t xml:space="preserve"> are set out in the Schedu</w:t>
      </w:r>
      <w:r w:rsidR="004E10D7" w:rsidRPr="00E87CD5">
        <w:t xml:space="preserve">le to the Rates and Adjustments of this report. </w:t>
      </w:r>
    </w:p>
    <w:p w:rsidR="008321D2" w:rsidRPr="00E87CD5" w:rsidRDefault="00626516" w:rsidP="00CF19B0">
      <w:pPr>
        <w:spacing w:before="120"/>
        <w:jc w:val="both"/>
      </w:pPr>
      <w:r w:rsidRPr="00E87CD5">
        <w:t xml:space="preserve">The projected unit method of valuation was used for the valuation and is in common use for funding </w:t>
      </w:r>
      <w:r w:rsidR="004E10D7" w:rsidRPr="00E87CD5">
        <w:t>P</w:t>
      </w:r>
      <w:r w:rsidRPr="00E87CD5">
        <w:t xml:space="preserve">ension </w:t>
      </w:r>
      <w:r w:rsidR="004E10D7" w:rsidRPr="00E87CD5">
        <w:t>F</w:t>
      </w:r>
      <w:r w:rsidRPr="00E87CD5">
        <w:t>unds in the United Kingdom.</w:t>
      </w:r>
      <w:r w:rsidR="008756A8" w:rsidRPr="00E87CD5">
        <w:t xml:space="preserve"> </w:t>
      </w:r>
      <w:r w:rsidR="00462AA2" w:rsidRPr="00E87CD5">
        <w:t xml:space="preserve"> </w:t>
      </w:r>
      <w:r w:rsidRPr="00E87CD5">
        <w:t xml:space="preserve">The Valuation results depend on financial and </w:t>
      </w:r>
      <w:r w:rsidR="00781D1C" w:rsidRPr="00E87CD5">
        <w:t>demo</w:t>
      </w:r>
      <w:r w:rsidRPr="00E87CD5">
        <w:t xml:space="preserve">graphic assumptions </w:t>
      </w:r>
      <w:r w:rsidR="004E10D7" w:rsidRPr="00E87CD5">
        <w:t>an</w:t>
      </w:r>
      <w:r w:rsidRPr="00E87CD5">
        <w:t xml:space="preserve">d these are detailed in </w:t>
      </w:r>
      <w:r w:rsidR="004E10D7" w:rsidRPr="00E87CD5">
        <w:t xml:space="preserve">full in the Actuarial Valuation and at Annex 1 of the Funding Strategy </w:t>
      </w:r>
      <w:r w:rsidR="00781D1C" w:rsidRPr="00E87CD5">
        <w:t>S</w:t>
      </w:r>
      <w:r w:rsidR="008321D2" w:rsidRPr="00E87CD5">
        <w:t>tatement</w:t>
      </w:r>
      <w:r w:rsidR="00962A6A" w:rsidRPr="00E87CD5">
        <w:t>.</w:t>
      </w:r>
      <w:r w:rsidR="008321D2" w:rsidRPr="00E87CD5">
        <w:t xml:space="preserve"> </w:t>
      </w:r>
    </w:p>
    <w:p w:rsidR="00962A6A" w:rsidRPr="00E87CD5" w:rsidRDefault="00962A6A" w:rsidP="00CF19B0">
      <w:pPr>
        <w:spacing w:before="120"/>
        <w:jc w:val="both"/>
      </w:pPr>
    </w:p>
    <w:p w:rsidR="0086294C" w:rsidRPr="00E87CD5" w:rsidRDefault="00E80588" w:rsidP="00CF19B0">
      <w:pPr>
        <w:spacing w:before="120"/>
        <w:jc w:val="both"/>
        <w:rPr>
          <w:b/>
        </w:rPr>
      </w:pPr>
      <w:r w:rsidRPr="00E87CD5">
        <w:rPr>
          <w:b/>
        </w:rPr>
        <w:t>The Rates and adjustments certified and accompanying schedule extracted from the actuarial valuation are as follows:</w:t>
      </w:r>
    </w:p>
    <w:p w:rsidR="005514E7" w:rsidRPr="00E87CD5" w:rsidRDefault="005514E7" w:rsidP="005514E7"/>
    <w:p w:rsidR="005514E7" w:rsidRPr="00E87CD5" w:rsidRDefault="005514E7" w:rsidP="005514E7"/>
    <w:p w:rsidR="005514E7" w:rsidRPr="00E87CD5" w:rsidRDefault="005514E7" w:rsidP="005514E7">
      <w:pPr>
        <w:pStyle w:val="AppendixHeading"/>
        <w:rPr>
          <w:color w:val="0057A6"/>
          <w:sz w:val="20"/>
        </w:rPr>
      </w:pPr>
      <w:bookmarkStart w:id="2" w:name="_Toc288039110"/>
      <w:bookmarkStart w:id="3" w:name="_Toc289350713"/>
      <w:r w:rsidRPr="00E87CD5">
        <w:rPr>
          <w:color w:val="0057A6"/>
          <w:sz w:val="20"/>
        </w:rPr>
        <w:t>Rates and Adjustments Certificate issued in accordance with Regulation 36 of the Administration Regulations</w:t>
      </w:r>
      <w:bookmarkEnd w:id="2"/>
      <w:bookmarkEnd w:id="3"/>
    </w:p>
    <w:tbl>
      <w:tblPr>
        <w:tblW w:w="0" w:type="auto"/>
        <w:tblLayout w:type="fixed"/>
        <w:tblCellMar>
          <w:left w:w="107" w:type="dxa"/>
          <w:right w:w="107" w:type="dxa"/>
        </w:tblCellMar>
        <w:tblLook w:val="0000" w:firstRow="0" w:lastRow="0" w:firstColumn="0" w:lastColumn="0" w:noHBand="0" w:noVBand="0"/>
      </w:tblPr>
      <w:tblGrid>
        <w:gridCol w:w="2987"/>
        <w:gridCol w:w="5850"/>
      </w:tblGrid>
      <w:tr w:rsidR="005514E7" w:rsidRPr="00E87CD5" w:rsidTr="005514E7">
        <w:trPr>
          <w:trHeight w:hRule="exact" w:val="706"/>
        </w:trPr>
        <w:tc>
          <w:tcPr>
            <w:tcW w:w="2987" w:type="dxa"/>
            <w:vAlign w:val="center"/>
          </w:tcPr>
          <w:p w:rsidR="005514E7" w:rsidRPr="00E87CD5" w:rsidRDefault="005514E7" w:rsidP="005514E7">
            <w:pPr>
              <w:pStyle w:val="NormalSingle"/>
              <w:spacing w:before="40" w:after="40"/>
              <w:rPr>
                <w:b/>
                <w:sz w:val="20"/>
              </w:rPr>
            </w:pPr>
            <w:r w:rsidRPr="00E87CD5">
              <w:rPr>
                <w:b/>
                <w:sz w:val="20"/>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5514E7" w:rsidRPr="00E87CD5" w:rsidRDefault="005514E7" w:rsidP="005514E7">
            <w:pPr>
              <w:pStyle w:val="NormalSingle"/>
              <w:spacing w:before="40" w:after="40"/>
              <w:rPr>
                <w:sz w:val="20"/>
              </w:rPr>
            </w:pPr>
            <w:r w:rsidRPr="00E87CD5">
              <w:rPr>
                <w:b/>
                <w:noProof/>
                <w:sz w:val="20"/>
              </w:rPr>
              <w:t>Lancashire County Pension Fund</w:t>
            </w:r>
          </w:p>
        </w:tc>
      </w:tr>
    </w:tbl>
    <w:p w:rsidR="005514E7" w:rsidRPr="00E87CD5" w:rsidRDefault="005514E7" w:rsidP="005514E7">
      <w:pPr>
        <w:pStyle w:val="NormalSingle"/>
        <w:rPr>
          <w:sz w:val="20"/>
        </w:rPr>
      </w:pPr>
    </w:p>
    <w:p w:rsidR="005514E7" w:rsidRPr="00E87CD5" w:rsidRDefault="005514E7" w:rsidP="005514E7">
      <w:pPr>
        <w:rPr>
          <w:sz w:val="20"/>
        </w:rPr>
      </w:pPr>
      <w:r w:rsidRPr="00E87CD5">
        <w:rPr>
          <w:sz w:val="20"/>
        </w:rPr>
        <w:t xml:space="preserve">I hereby certify that, in my opinion, the common rate of employers’ contributions payable in each year of the period of three years beginning 1 April 2011 should be at the rate of </w:t>
      </w:r>
      <w:r w:rsidRPr="00E87CD5">
        <w:rPr>
          <w:noProof/>
          <w:sz w:val="20"/>
        </w:rPr>
        <w:t xml:space="preserve">12.5 </w:t>
      </w:r>
      <w:r w:rsidRPr="00E87CD5">
        <w:rPr>
          <w:sz w:val="20"/>
        </w:rPr>
        <w:t xml:space="preserve">per cent of Pensionable Pay.  </w:t>
      </w:r>
    </w:p>
    <w:p w:rsidR="005514E7" w:rsidRPr="00E87CD5" w:rsidRDefault="005514E7" w:rsidP="005514E7">
      <w:pPr>
        <w:rPr>
          <w:sz w:val="20"/>
        </w:rPr>
      </w:pPr>
      <w:r w:rsidRPr="00E87CD5">
        <w:rPr>
          <w:sz w:val="20"/>
        </w:rPr>
        <w:t>I hereby certify that, in my opinion, the amount of the employers’ contributions payable in each year of the period of three years beginning with 1 April 2011, as set out above, should be individually adjusted as set out in the attached schedule.</w:t>
      </w:r>
    </w:p>
    <w:p w:rsidR="005514E7" w:rsidRPr="00E87CD5" w:rsidRDefault="005514E7" w:rsidP="005514E7">
      <w:pPr>
        <w:rPr>
          <w:sz w:val="20"/>
        </w:rPr>
      </w:pPr>
      <w:r w:rsidRPr="00E87CD5">
        <w:rPr>
          <w:sz w:val="20"/>
        </w:rPr>
        <w:t>Contributions will be payable monthly in arrears with each payment normally being due by the 19th of the following month.  Pensionable Pay is pay as determined under the LGPS regulations for the calculation of employee contributions.</w:t>
      </w:r>
    </w:p>
    <w:p w:rsidR="005514E7" w:rsidRPr="00E87CD5" w:rsidRDefault="005514E7" w:rsidP="005514E7">
      <w:pPr>
        <w:rPr>
          <w:sz w:val="20"/>
        </w:rPr>
      </w:pPr>
      <w:r w:rsidRPr="00E87CD5">
        <w:rPr>
          <w:sz w:val="20"/>
        </w:rPr>
        <w:t>For employers where no allowance for non ill-health early retirement costs is included in the valuation a further individual adjustment shall be applied in respect of each non-ill health early retirement occurring in the period of three years covered by this certificate. This further individual adjustment will be calculated in accordance with methods agreed from time to time between the Fund’s actuary and the Administering Authority.</w:t>
      </w:r>
    </w:p>
    <w:p w:rsidR="005514E7" w:rsidRPr="00E87CD5" w:rsidRDefault="005514E7" w:rsidP="005514E7">
      <w:pPr>
        <w:rPr>
          <w:sz w:val="20"/>
        </w:rPr>
      </w:pPr>
      <w:r w:rsidRPr="00E87CD5">
        <w:rPr>
          <w:sz w:val="20"/>
        </w:rPr>
        <w:t>The contributions set out in the attached schedule represent the minimum contribution which may be paid by each employer.  Additional contributions may be paid if requested by the employer concerned.</w:t>
      </w:r>
    </w:p>
    <w:p w:rsidR="005514E7" w:rsidRPr="00E87CD5" w:rsidRDefault="005514E7" w:rsidP="005514E7">
      <w:pPr>
        <w:rPr>
          <w:sz w:val="20"/>
        </w:rPr>
      </w:pPr>
      <w:r w:rsidRPr="00E87CD5">
        <w:rPr>
          <w:sz w:val="20"/>
        </w:rPr>
        <w:t>The contributions may be varied as agreed by the Actuary and Administering Authority to reflect any changes in contribution requirements as a result of any benefit costs being insured against a third party.</w:t>
      </w:r>
    </w:p>
    <w:p w:rsidR="005514E7" w:rsidRPr="00E87CD5" w:rsidRDefault="005514E7" w:rsidP="005514E7">
      <w:pPr>
        <w:rPr>
          <w:b/>
          <w:color w:val="0057A6"/>
          <w:sz w:val="20"/>
        </w:rPr>
      </w:pPr>
      <w:r w:rsidRPr="00E87CD5">
        <w:rPr>
          <w:b/>
          <w:color w:val="0057A6"/>
          <w:sz w:val="20"/>
        </w:rPr>
        <w:t xml:space="preserve">Regulation 36(8)  </w:t>
      </w:r>
    </w:p>
    <w:p w:rsidR="005514E7" w:rsidRPr="00E87CD5" w:rsidRDefault="005514E7" w:rsidP="005514E7">
      <w:pPr>
        <w:rPr>
          <w:sz w:val="20"/>
        </w:rPr>
      </w:pPr>
      <w:r w:rsidRPr="00E87CD5">
        <w:rPr>
          <w:sz w:val="20"/>
        </w:rPr>
        <w:t>Allowance for ill health retirements has been included in each employer’s contribution rate, on the basis of the method and assumptions set out in the report.</w:t>
      </w:r>
    </w:p>
    <w:p w:rsidR="005514E7" w:rsidRPr="00E87CD5" w:rsidRDefault="005514E7" w:rsidP="005514E7">
      <w:pPr>
        <w:rPr>
          <w:sz w:val="20"/>
        </w:rPr>
      </w:pPr>
      <w:r w:rsidRPr="00E87CD5">
        <w:rPr>
          <w:sz w:val="20"/>
        </w:rPr>
        <w:t>For four employers I have shown on the attached Schedule the allowance made for non-ill health early retirements over the period of three years beginning 1 April 2011 taken into account when setting this employer’s contribution rate.</w:t>
      </w:r>
    </w:p>
    <w:p w:rsidR="005514E7" w:rsidRPr="00E87CD5" w:rsidRDefault="005514E7" w:rsidP="005514E7">
      <w:pPr>
        <w:rPr>
          <w:sz w:val="20"/>
        </w:rPr>
      </w:pPr>
      <w:r w:rsidRPr="00E87CD5">
        <w:rPr>
          <w:sz w:val="20"/>
        </w:rPr>
        <w:t>No allowance for non-ill health early retirements has been made in determining the results of the valuation for other employers, on the basis that the costs arising will be met by additional contributions.</w:t>
      </w:r>
    </w:p>
    <w:p w:rsidR="005514E7" w:rsidRPr="00E87CD5" w:rsidRDefault="005514E7" w:rsidP="005514E7">
      <w:pPr>
        <w:rPr>
          <w:sz w:val="20"/>
        </w:rPr>
      </w:pPr>
      <w:r w:rsidRPr="00E87CD5">
        <w:rPr>
          <w:noProof/>
          <w:sz w:val="20"/>
        </w:rPr>
        <w:drawing>
          <wp:anchor distT="0" distB="0" distL="114300" distR="114300" simplePos="0" relativeHeight="251653120" behindDoc="0" locked="0" layoutInCell="1" allowOverlap="1" wp14:anchorId="0A9FEB43" wp14:editId="341113D3">
            <wp:simplePos x="0" y="0"/>
            <wp:positionH relativeFrom="column">
              <wp:posOffset>2375535</wp:posOffset>
            </wp:positionH>
            <wp:positionV relativeFrom="paragraph">
              <wp:posOffset>48895</wp:posOffset>
            </wp:positionV>
            <wp:extent cx="923925" cy="542925"/>
            <wp:effectExtent l="19050" t="0" r="9525" b="0"/>
            <wp:wrapSquare wrapText="bothSides"/>
            <wp:docPr id="40" name="Picture 32"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010320052"/>
                    <pic:cNvPicPr>
                      <a:picLocks noChangeAspect="1" noChangeArrowheads="1"/>
                    </pic:cNvPicPr>
                  </pic:nvPicPr>
                  <pic:blipFill>
                    <a:blip r:embed="rId35" cstate="print"/>
                    <a:srcRect l="28194" t="67473" r="52292" b="17204"/>
                    <a:stretch>
                      <a:fillRect/>
                    </a:stretch>
                  </pic:blipFill>
                  <pic:spPr bwMode="auto">
                    <a:xfrm>
                      <a:off x="0" y="0"/>
                      <a:ext cx="923925" cy="542925"/>
                    </a:xfrm>
                    <a:prstGeom prst="rect">
                      <a:avLst/>
                    </a:prstGeom>
                    <a:noFill/>
                    <a:ln w="9525">
                      <a:noFill/>
                      <a:miter lim="800000"/>
                      <a:headEnd/>
                      <a:tailEnd/>
                    </a:ln>
                  </pic:spPr>
                </pic:pic>
              </a:graphicData>
            </a:graphic>
          </wp:anchor>
        </w:drawing>
      </w:r>
    </w:p>
    <w:p w:rsidR="005514E7" w:rsidRPr="00E87CD5" w:rsidRDefault="005514E7" w:rsidP="005514E7"/>
    <w:p w:rsidR="005514E7" w:rsidRPr="00E87CD5" w:rsidRDefault="005514E7" w:rsidP="005514E7">
      <w:pPr>
        <w:rPr>
          <w:b/>
          <w:szCs w:val="22"/>
        </w:rPr>
      </w:pPr>
    </w:p>
    <w:p w:rsidR="005514E7" w:rsidRPr="00E87CD5" w:rsidRDefault="00200574" w:rsidP="005514E7">
      <w:pPr>
        <w:rPr>
          <w:b/>
          <w:sz w:val="20"/>
        </w:rPr>
      </w:pPr>
      <w:r w:rsidRPr="00E87CD5">
        <w:rPr>
          <w:b/>
          <w:noProof/>
          <w:sz w:val="20"/>
        </w:rPr>
        <mc:AlternateContent>
          <mc:Choice Requires="wps">
            <w:drawing>
              <wp:anchor distT="0" distB="0" distL="114300" distR="114300" simplePos="0" relativeHeight="251661312" behindDoc="0" locked="0" layoutInCell="1" allowOverlap="1" wp14:anchorId="0E325F1F" wp14:editId="3D77D718">
                <wp:simplePos x="0" y="0"/>
                <wp:positionH relativeFrom="column">
                  <wp:posOffset>1584960</wp:posOffset>
                </wp:positionH>
                <wp:positionV relativeFrom="paragraph">
                  <wp:posOffset>154305</wp:posOffset>
                </wp:positionV>
                <wp:extent cx="2628900" cy="0"/>
                <wp:effectExtent l="0" t="0" r="0" b="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F2A5"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pt,12.15pt" to="331.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T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"/>
            </w:pict>
          </mc:Fallback>
        </mc:AlternateContent>
      </w:r>
      <w:r w:rsidR="005514E7" w:rsidRPr="00E87CD5">
        <w:rPr>
          <w:b/>
          <w:sz w:val="20"/>
        </w:rPr>
        <w:t>Signature</w:t>
      </w:r>
    </w:p>
    <w:p w:rsidR="005514E7" w:rsidRPr="00E87CD5" w:rsidRDefault="005514E7" w:rsidP="005514E7">
      <w:pPr>
        <w:rPr>
          <w:b/>
          <w:sz w:val="20"/>
        </w:rPr>
      </w:pPr>
    </w:p>
    <w:p w:rsidR="005514E7" w:rsidRPr="00E87CD5" w:rsidRDefault="005514E7" w:rsidP="005514E7">
      <w:pPr>
        <w:rPr>
          <w:noProof/>
          <w:sz w:val="20"/>
        </w:rPr>
      </w:pPr>
      <w:r w:rsidRPr="00E87CD5">
        <w:rPr>
          <w:b/>
          <w:sz w:val="20"/>
        </w:rPr>
        <w:t>Name</w:t>
      </w:r>
      <w:r w:rsidRPr="00E87CD5">
        <w:rPr>
          <w:b/>
          <w:sz w:val="20"/>
        </w:rPr>
        <w:tab/>
      </w:r>
      <w:r w:rsidRPr="00E87CD5">
        <w:rPr>
          <w:b/>
          <w:sz w:val="20"/>
        </w:rPr>
        <w:tab/>
      </w:r>
      <w:r w:rsidRPr="00E87CD5">
        <w:rPr>
          <w:b/>
          <w:sz w:val="20"/>
        </w:rPr>
        <w:tab/>
      </w:r>
      <w:r w:rsidRPr="00E87CD5">
        <w:rPr>
          <w:b/>
          <w:sz w:val="20"/>
        </w:rPr>
        <w:tab/>
      </w:r>
      <w:r w:rsidRPr="00E87CD5">
        <w:rPr>
          <w:b/>
          <w:sz w:val="20"/>
        </w:rPr>
        <w:tab/>
      </w:r>
      <w:r w:rsidRPr="00E87CD5">
        <w:rPr>
          <w:b/>
          <w:sz w:val="20"/>
        </w:rPr>
        <w:tab/>
      </w:r>
      <w:r w:rsidRPr="00E87CD5">
        <w:rPr>
          <w:noProof/>
          <w:sz w:val="20"/>
        </w:rPr>
        <w:t>John Livesey</w:t>
      </w:r>
    </w:p>
    <w:p w:rsidR="005514E7" w:rsidRPr="00E87CD5" w:rsidRDefault="005514E7" w:rsidP="005514E7">
      <w:pPr>
        <w:rPr>
          <w:b/>
          <w:sz w:val="20"/>
        </w:rPr>
      </w:pPr>
      <w:r w:rsidRPr="00E87CD5">
        <w:rPr>
          <w:b/>
          <w:sz w:val="20"/>
        </w:rPr>
        <w:t>Qualification</w:t>
      </w:r>
      <w:r w:rsidRPr="00E87CD5">
        <w:rPr>
          <w:b/>
          <w:sz w:val="20"/>
        </w:rPr>
        <w:tab/>
      </w:r>
      <w:r w:rsidRPr="00E87CD5">
        <w:rPr>
          <w:b/>
          <w:sz w:val="20"/>
        </w:rPr>
        <w:tab/>
      </w:r>
      <w:r w:rsidRPr="00E87CD5">
        <w:rPr>
          <w:sz w:val="20"/>
        </w:rPr>
        <w:t>Fellow of the Institute of Actuaries</w:t>
      </w:r>
    </w:p>
    <w:p w:rsidR="005514E7" w:rsidRPr="00E87CD5" w:rsidRDefault="005514E7" w:rsidP="005514E7">
      <w:pPr>
        <w:rPr>
          <w:b/>
          <w:sz w:val="28"/>
        </w:rPr>
      </w:pPr>
      <w:r w:rsidRPr="00E87CD5">
        <w:rPr>
          <w:b/>
          <w:sz w:val="20"/>
        </w:rPr>
        <w:t>Date of signing</w:t>
      </w:r>
      <w:r w:rsidRPr="00E87CD5">
        <w:rPr>
          <w:b/>
          <w:sz w:val="20"/>
        </w:rPr>
        <w:tab/>
      </w:r>
      <w:r w:rsidRPr="00E87CD5">
        <w:rPr>
          <w:b/>
          <w:sz w:val="20"/>
        </w:rPr>
        <w:tab/>
      </w:r>
      <w:r w:rsidRPr="00E87CD5">
        <w:rPr>
          <w:noProof/>
          <w:sz w:val="20"/>
        </w:rPr>
        <w:t>31 March 2011</w:t>
      </w:r>
    </w:p>
    <w:p w:rsidR="00A67129" w:rsidRPr="00E87CD5" w:rsidRDefault="00A67129" w:rsidP="0086294C">
      <w:pPr>
        <w:ind w:left="-284"/>
        <w:jc w:val="center"/>
        <w:rPr>
          <w:b/>
          <w:sz w:val="28"/>
        </w:rPr>
      </w:pPr>
    </w:p>
    <w:p w:rsidR="00962A6A" w:rsidRPr="00E87CD5" w:rsidRDefault="00962A6A" w:rsidP="0086294C">
      <w:pPr>
        <w:ind w:left="-284"/>
        <w:jc w:val="center"/>
        <w:rPr>
          <w:b/>
          <w:sz w:val="28"/>
        </w:rPr>
      </w:pPr>
    </w:p>
    <w:p w:rsidR="00653ED4" w:rsidRPr="00E87CD5" w:rsidRDefault="00653ED4" w:rsidP="0086294C">
      <w:pPr>
        <w:ind w:left="-284"/>
        <w:jc w:val="center"/>
        <w:rPr>
          <w:b/>
          <w:sz w:val="28"/>
        </w:rPr>
      </w:pPr>
    </w:p>
    <w:p w:rsidR="0086294C" w:rsidRPr="00E87CD5" w:rsidRDefault="0086294C" w:rsidP="0086294C">
      <w:pPr>
        <w:ind w:left="-284"/>
        <w:jc w:val="center"/>
        <w:rPr>
          <w:sz w:val="28"/>
        </w:rPr>
      </w:pPr>
      <w:r w:rsidRPr="00E87CD5">
        <w:rPr>
          <w:sz w:val="28"/>
        </w:rPr>
        <w:t>Schedule to the Rates and Adjustments Certificate dated 3</w:t>
      </w:r>
      <w:r w:rsidR="009227D1" w:rsidRPr="00E87CD5">
        <w:rPr>
          <w:sz w:val="28"/>
        </w:rPr>
        <w:t>1</w:t>
      </w:r>
      <w:r w:rsidR="001D02DE" w:rsidRPr="00E87CD5">
        <w:rPr>
          <w:sz w:val="28"/>
        </w:rPr>
        <w:t xml:space="preserve"> </w:t>
      </w:r>
      <w:r w:rsidRPr="00E87CD5">
        <w:rPr>
          <w:sz w:val="28"/>
        </w:rPr>
        <w:t>March 20</w:t>
      </w:r>
      <w:r w:rsidR="009227D1" w:rsidRPr="00E87CD5">
        <w:rPr>
          <w:sz w:val="28"/>
        </w:rPr>
        <w:t>11</w:t>
      </w:r>
    </w:p>
    <w:p w:rsidR="00305FAF" w:rsidRPr="00E87CD5" w:rsidRDefault="00305FAF" w:rsidP="0086294C">
      <w:pPr>
        <w:ind w:left="-284"/>
        <w:jc w:val="center"/>
        <w:rPr>
          <w:b/>
          <w:sz w:val="28"/>
        </w:rPr>
      </w:pPr>
    </w:p>
    <w:p w:rsidR="0086294C" w:rsidRPr="00E87CD5" w:rsidRDefault="0086294C" w:rsidP="0086294C">
      <w:pPr>
        <w:ind w:left="-284"/>
        <w:jc w:val="center"/>
        <w:rPr>
          <w:b/>
          <w:sz w:val="28"/>
        </w:rPr>
      </w:pPr>
    </w:p>
    <w:p w:rsidR="0086294C" w:rsidRPr="00E87CD5" w:rsidRDefault="0086294C" w:rsidP="0086294C">
      <w:pPr>
        <w:rPr>
          <w:sz w:val="12"/>
        </w:rPr>
      </w:pPr>
    </w:p>
    <w:tbl>
      <w:tblPr>
        <w:tblW w:w="10286" w:type="dxa"/>
        <w:tblInd w:w="-225" w:type="dxa"/>
        <w:shd w:val="clear" w:color="auto" w:fill="F3F3F3"/>
        <w:tblLayout w:type="fixed"/>
        <w:tblLook w:val="0000" w:firstRow="0" w:lastRow="0" w:firstColumn="0" w:lastColumn="0" w:noHBand="0" w:noVBand="0"/>
      </w:tblPr>
      <w:tblGrid>
        <w:gridCol w:w="3168"/>
        <w:gridCol w:w="896"/>
        <w:gridCol w:w="97"/>
        <w:gridCol w:w="773"/>
        <w:gridCol w:w="870"/>
        <w:gridCol w:w="908"/>
        <w:gridCol w:w="832"/>
        <w:gridCol w:w="870"/>
        <w:gridCol w:w="1872"/>
      </w:tblGrid>
      <w:tr w:rsidR="00FD3A07" w:rsidRPr="00E87CD5" w:rsidTr="00F6079E">
        <w:tc>
          <w:tcPr>
            <w:tcW w:w="3168" w:type="dxa"/>
            <w:tcBorders>
              <w:top w:val="single" w:sz="4" w:space="0" w:color="auto"/>
              <w:left w:val="single" w:sz="4" w:space="0" w:color="auto"/>
              <w:right w:val="single" w:sz="4" w:space="0" w:color="auto"/>
            </w:tcBorders>
            <w:shd w:val="clear" w:color="auto" w:fill="F3F3F3"/>
          </w:tcPr>
          <w:p w:rsidR="00FD3A07" w:rsidRPr="00E87CD5" w:rsidRDefault="00FD3A07" w:rsidP="00F524EB">
            <w:pPr>
              <w:rPr>
                <w:b/>
                <w:sz w:val="18"/>
              </w:rPr>
            </w:pPr>
          </w:p>
        </w:tc>
        <w:tc>
          <w:tcPr>
            <w:tcW w:w="1766"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A92013" w:rsidP="00A92013">
            <w:pPr>
              <w:jc w:val="center"/>
              <w:rPr>
                <w:b/>
                <w:color w:val="000000"/>
                <w:sz w:val="18"/>
              </w:rPr>
            </w:pPr>
            <w:r w:rsidRPr="00E87CD5">
              <w:rPr>
                <w:b/>
                <w:color w:val="000000"/>
                <w:sz w:val="18"/>
              </w:rPr>
              <w:t>2011</w:t>
            </w:r>
            <w:r w:rsidR="00FD3A07" w:rsidRPr="00E87CD5">
              <w:rPr>
                <w:b/>
                <w:color w:val="000000"/>
                <w:sz w:val="18"/>
              </w:rPr>
              <w:t>/</w:t>
            </w:r>
            <w:r w:rsidRPr="00E87CD5">
              <w:rPr>
                <w:b/>
                <w:color w:val="000000"/>
                <w:sz w:val="18"/>
              </w:rPr>
              <w:t>12</w:t>
            </w:r>
          </w:p>
        </w:tc>
        <w:tc>
          <w:tcPr>
            <w:tcW w:w="177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A92013">
            <w:pPr>
              <w:jc w:val="center"/>
              <w:rPr>
                <w:b/>
                <w:sz w:val="18"/>
              </w:rPr>
            </w:pPr>
            <w:r w:rsidRPr="00E87CD5">
              <w:rPr>
                <w:b/>
                <w:color w:val="000000"/>
                <w:sz w:val="18"/>
              </w:rPr>
              <w:t>20</w:t>
            </w:r>
            <w:r w:rsidR="00A92013" w:rsidRPr="00E87CD5">
              <w:rPr>
                <w:b/>
                <w:color w:val="000000"/>
                <w:sz w:val="18"/>
              </w:rPr>
              <w:t>12</w:t>
            </w:r>
            <w:r w:rsidRPr="00E87CD5">
              <w:rPr>
                <w:b/>
                <w:color w:val="000000"/>
                <w:sz w:val="18"/>
              </w:rPr>
              <w:t>/1</w:t>
            </w:r>
            <w:r w:rsidR="00A92013" w:rsidRPr="00E87CD5">
              <w:rPr>
                <w:b/>
                <w:color w:val="000000"/>
                <w:sz w:val="18"/>
              </w:rPr>
              <w:t>3</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A92013">
            <w:pPr>
              <w:jc w:val="center"/>
              <w:rPr>
                <w:b/>
                <w:sz w:val="18"/>
              </w:rPr>
            </w:pPr>
            <w:r w:rsidRPr="00E87CD5">
              <w:rPr>
                <w:b/>
                <w:color w:val="000000"/>
                <w:sz w:val="18"/>
                <w:szCs w:val="18"/>
              </w:rPr>
              <w:t>201</w:t>
            </w:r>
            <w:r w:rsidR="00A92013" w:rsidRPr="00E87CD5">
              <w:rPr>
                <w:b/>
                <w:color w:val="000000"/>
                <w:sz w:val="18"/>
                <w:szCs w:val="18"/>
              </w:rPr>
              <w:t>3</w:t>
            </w:r>
            <w:r w:rsidRPr="00E87CD5">
              <w:rPr>
                <w:b/>
                <w:color w:val="000000"/>
                <w:sz w:val="18"/>
                <w:szCs w:val="18"/>
              </w:rPr>
              <w:t>/1</w:t>
            </w:r>
            <w:r w:rsidR="00A92013" w:rsidRPr="00E87CD5">
              <w:rPr>
                <w:b/>
                <w:color w:val="000000"/>
                <w:sz w:val="18"/>
                <w:szCs w:val="18"/>
              </w:rPr>
              <w:t>4</w:t>
            </w:r>
          </w:p>
        </w:tc>
        <w:tc>
          <w:tcPr>
            <w:tcW w:w="1872" w:type="dxa"/>
            <w:tcBorders>
              <w:top w:val="single" w:sz="4" w:space="0" w:color="auto"/>
              <w:left w:val="single" w:sz="4" w:space="0" w:color="auto"/>
              <w:bottom w:val="single" w:sz="4" w:space="0" w:color="auto"/>
              <w:right w:val="single" w:sz="4" w:space="0" w:color="auto"/>
            </w:tcBorders>
            <w:shd w:val="clear" w:color="auto" w:fill="F3F3F3"/>
          </w:tcPr>
          <w:p w:rsidR="00FD3A07" w:rsidRPr="00E87CD5" w:rsidRDefault="00FD3A07" w:rsidP="00A92013">
            <w:pPr>
              <w:jc w:val="center"/>
              <w:rPr>
                <w:b/>
                <w:sz w:val="18"/>
              </w:rPr>
            </w:pPr>
            <w:r w:rsidRPr="00E87CD5">
              <w:rPr>
                <w:b/>
                <w:color w:val="000000"/>
                <w:sz w:val="18"/>
                <w:szCs w:val="18"/>
              </w:rPr>
              <w:t>Non-ill health early retirement allowance included for the 3 years 20</w:t>
            </w:r>
            <w:r w:rsidR="00A92013" w:rsidRPr="00E87CD5">
              <w:rPr>
                <w:b/>
                <w:color w:val="000000"/>
                <w:sz w:val="18"/>
                <w:szCs w:val="18"/>
              </w:rPr>
              <w:t>11</w:t>
            </w:r>
            <w:r w:rsidRPr="00E87CD5">
              <w:rPr>
                <w:b/>
                <w:color w:val="000000"/>
                <w:sz w:val="18"/>
                <w:szCs w:val="18"/>
              </w:rPr>
              <w:t>/1</w:t>
            </w:r>
            <w:r w:rsidR="00A92013" w:rsidRPr="00E87CD5">
              <w:rPr>
                <w:b/>
                <w:color w:val="000000"/>
                <w:sz w:val="18"/>
                <w:szCs w:val="18"/>
              </w:rPr>
              <w:t>4</w:t>
            </w:r>
          </w:p>
        </w:tc>
      </w:tr>
      <w:tr w:rsidR="00FD3A07" w:rsidRPr="00E87CD5" w:rsidTr="00F6079E">
        <w:trPr>
          <w:cantSplit/>
          <w:trHeight w:val="397"/>
        </w:trPr>
        <w:tc>
          <w:tcPr>
            <w:tcW w:w="3168" w:type="dxa"/>
            <w:tcBorders>
              <w:left w:val="single" w:sz="4" w:space="0" w:color="auto"/>
              <w:bottom w:val="single" w:sz="4" w:space="0" w:color="auto"/>
              <w:right w:val="single" w:sz="4" w:space="0" w:color="auto"/>
            </w:tcBorders>
            <w:shd w:val="clear" w:color="auto" w:fill="F3F3F3"/>
            <w:vAlign w:val="center"/>
          </w:tcPr>
          <w:p w:rsidR="009227D1" w:rsidRPr="00E87CD5" w:rsidRDefault="009227D1" w:rsidP="00D25355">
            <w:pPr>
              <w:rPr>
                <w:b/>
                <w:sz w:val="18"/>
              </w:rPr>
            </w:pPr>
            <w:r w:rsidRPr="00E87CD5">
              <w:rPr>
                <w:b/>
                <w:sz w:val="18"/>
              </w:rPr>
              <w:t>Employers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A92013">
            <w:pPr>
              <w:jc w:val="center"/>
              <w:rPr>
                <w:b/>
                <w:sz w:val="14"/>
              </w:rPr>
            </w:pPr>
            <w:r w:rsidRPr="00E87CD5">
              <w:rPr>
                <w:b/>
                <w:sz w:val="14"/>
              </w:rPr>
              <w:t>Individual Adjust-ment)</w:t>
            </w:r>
          </w:p>
          <w:p w:rsidR="00B51B16" w:rsidRPr="00E87CD5" w:rsidRDefault="00B51B16" w:rsidP="00A92013">
            <w:pPr>
              <w:jc w:val="center"/>
              <w:rPr>
                <w:b/>
                <w:sz w:val="14"/>
              </w:rPr>
            </w:pPr>
            <w:r w:rsidRPr="00E87CD5">
              <w:rPr>
                <w:b/>
                <w:sz w:val="14"/>
              </w:rPr>
              <w:t>%</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FD3A07" w:rsidP="00A92013">
            <w:pPr>
              <w:jc w:val="center"/>
              <w:rPr>
                <w:b/>
                <w:sz w:val="14"/>
              </w:rPr>
            </w:pPr>
            <w:r w:rsidRPr="00E87CD5">
              <w:rPr>
                <w:b/>
                <w:sz w:val="14"/>
              </w:rPr>
              <w:t>Total Contribu-tion Rate</w:t>
            </w:r>
          </w:p>
          <w:p w:rsidR="00FD3A07" w:rsidRPr="00E87CD5" w:rsidRDefault="00B51B16" w:rsidP="00A92013">
            <w:pPr>
              <w:jc w:val="center"/>
              <w:rPr>
                <w:b/>
                <w:sz w:val="14"/>
              </w:rPr>
            </w:pPr>
            <w:r w:rsidRPr="00E87CD5">
              <w:rPr>
                <w:b/>
                <w:sz w:val="14"/>
              </w:rPr>
              <w:t>%</w:t>
            </w:r>
            <w:r w:rsidR="00FD3A07" w:rsidRPr="00E87CD5">
              <w:rPr>
                <w:b/>
                <w:sz w:val="14"/>
              </w:rPr>
              <w:t xml:space="preserve">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A92013">
            <w:pPr>
              <w:jc w:val="center"/>
              <w:rPr>
                <w:b/>
                <w:sz w:val="14"/>
              </w:rPr>
            </w:pPr>
            <w:r w:rsidRPr="00E87CD5">
              <w:rPr>
                <w:b/>
                <w:sz w:val="14"/>
              </w:rPr>
              <w:t>Individual Adjust-ment</w:t>
            </w:r>
            <w:r w:rsidRPr="00E87CD5">
              <w:rPr>
                <w:b/>
                <w:sz w:val="14"/>
              </w:rPr>
              <w:br/>
            </w:r>
            <w:r w:rsidR="00B51B16" w:rsidRPr="00E87CD5">
              <w:rPr>
                <w:b/>
                <w:sz w:val="14"/>
              </w:rPr>
              <w:t>%</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A92013">
            <w:pPr>
              <w:jc w:val="center"/>
              <w:rPr>
                <w:b/>
                <w:sz w:val="14"/>
              </w:rPr>
            </w:pPr>
            <w:r w:rsidRPr="00E87CD5">
              <w:rPr>
                <w:b/>
                <w:sz w:val="14"/>
              </w:rPr>
              <w:t xml:space="preserve">Total Contribu-tion Rate </w:t>
            </w:r>
          </w:p>
          <w:p w:rsidR="00B51B16" w:rsidRPr="00E87CD5" w:rsidRDefault="00B51B16" w:rsidP="00A92013">
            <w:pPr>
              <w:jc w:val="center"/>
              <w:rPr>
                <w:b/>
                <w:sz w:val="14"/>
              </w:rPr>
            </w:pPr>
            <w:r w:rsidRPr="00E87CD5">
              <w:rPr>
                <w:b/>
                <w:sz w:val="14"/>
              </w:rPr>
              <w:t>%</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A92013">
            <w:pPr>
              <w:jc w:val="center"/>
              <w:rPr>
                <w:b/>
                <w:sz w:val="14"/>
              </w:rPr>
            </w:pPr>
            <w:r w:rsidRPr="00E87CD5">
              <w:rPr>
                <w:b/>
                <w:sz w:val="14"/>
              </w:rPr>
              <w:t>Individual Adjust-ment</w:t>
            </w:r>
            <w:r w:rsidRPr="00E87CD5">
              <w:rPr>
                <w:b/>
                <w:sz w:val="14"/>
              </w:rPr>
              <w:br/>
            </w:r>
            <w:r w:rsidR="00B51B16"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FD3A07" w:rsidP="00A92013">
            <w:pPr>
              <w:jc w:val="center"/>
              <w:rPr>
                <w:b/>
                <w:sz w:val="14"/>
              </w:rPr>
            </w:pPr>
            <w:r w:rsidRPr="00E87CD5">
              <w:rPr>
                <w:b/>
                <w:sz w:val="14"/>
              </w:rPr>
              <w:t>Total Contribu-tion Rate</w:t>
            </w:r>
          </w:p>
          <w:p w:rsidR="00FD3A07" w:rsidRPr="00E87CD5" w:rsidRDefault="00B51B16" w:rsidP="00A92013">
            <w:pPr>
              <w:jc w:val="center"/>
              <w:rPr>
                <w:b/>
                <w:sz w:val="14"/>
              </w:rPr>
            </w:pPr>
            <w:r w:rsidRPr="00E87CD5">
              <w:rPr>
                <w:b/>
                <w:sz w:val="14"/>
              </w:rPr>
              <w:t>%</w:t>
            </w:r>
            <w:r w:rsidR="00FD3A07" w:rsidRPr="00E87CD5">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E87CD5" w:rsidRDefault="00FD3A07" w:rsidP="00D25355">
            <w:pPr>
              <w:jc w:val="center"/>
              <w:rPr>
                <w:b/>
                <w:sz w:val="14"/>
                <w:szCs w:val="14"/>
              </w:rPr>
            </w:pPr>
            <w:r w:rsidRPr="00E87CD5">
              <w:rPr>
                <w:b/>
                <w:sz w:val="14"/>
                <w:szCs w:val="14"/>
              </w:rPr>
              <w:t>Amount</w:t>
            </w:r>
            <w:r w:rsidRPr="00E87CD5">
              <w:rPr>
                <w:b/>
                <w:sz w:val="14"/>
                <w:szCs w:val="14"/>
              </w:rPr>
              <w:br/>
              <w:t>£</w:t>
            </w:r>
          </w:p>
        </w:tc>
      </w:tr>
      <w:tr w:rsidR="00A92013" w:rsidRPr="00E87CD5"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ABM Catering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3.5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3.5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16.0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16.0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rPr>
                <w:sz w:val="18"/>
                <w:szCs w:val="18"/>
              </w:rPr>
            </w:pPr>
            <w:r w:rsidRPr="00E87CD5">
              <w:rPr>
                <w:sz w:val="18"/>
                <w:szCs w:val="18"/>
              </w:rPr>
              <w:lastRenderedPageBreak/>
              <w:t>Accrington &amp; Rossendale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7.1</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19.6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7.1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19.6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7.1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19.6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Accrington Academy</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-1.8</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10.7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-1.8</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10.7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10.7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Alternative Futures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1.7</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14.2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Andron (City of Preston High)</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11.3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Andron (Glenburn Sports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13.0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13.0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Andron (Kennington)</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rPr>
                <w:rFonts w:cs="Arial"/>
                <w:sz w:val="18"/>
                <w:szCs w:val="18"/>
              </w:rPr>
            </w:pPr>
            <w:r w:rsidRPr="00E87CD5">
              <w:rPr>
                <w:rFonts w:cs="Arial"/>
                <w:sz w:val="18"/>
                <w:szCs w:val="18"/>
              </w:rPr>
              <w:t>Andron (Ribblesdale High)</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-0.3</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12.2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rPr>
                <w:snapToGrid w:val="0"/>
                <w:sz w:val="18"/>
                <w:szCs w:val="18"/>
                <w:lang w:eastAsia="en-US"/>
              </w:rPr>
            </w:pPr>
            <w:r w:rsidRPr="00E87CD5">
              <w:rPr>
                <w:snapToGrid w:val="0"/>
                <w:sz w:val="18"/>
                <w:szCs w:val="18"/>
                <w:lang w:eastAsia="en-US"/>
              </w:rPr>
              <w:t>Arnold Schools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5.0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7.4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19.9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A92013"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rPr>
                <w:snapToGrid w:val="0"/>
                <w:sz w:val="18"/>
                <w:szCs w:val="18"/>
                <w:lang w:eastAsia="en-US"/>
              </w:rPr>
            </w:pPr>
            <w:r w:rsidRPr="00E87CD5">
              <w:rPr>
                <w:snapToGrid w:val="0"/>
                <w:sz w:val="18"/>
                <w:szCs w:val="18"/>
                <w:lang w:eastAsia="en-US"/>
              </w:rPr>
              <w:t>Beaufort Avenue Day Care Centre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14.0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26.5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17.7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30.2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21.3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A92013">
            <w:pPr>
              <w:autoSpaceDE w:val="0"/>
              <w:autoSpaceDN w:val="0"/>
              <w:adjustRightInd w:val="0"/>
              <w:jc w:val="center"/>
              <w:rPr>
                <w:rFonts w:cs="Arial"/>
                <w:sz w:val="18"/>
                <w:szCs w:val="18"/>
              </w:rPr>
            </w:pPr>
            <w:r w:rsidRPr="00E87CD5">
              <w:rPr>
                <w:rFonts w:cs="Arial"/>
                <w:sz w:val="18"/>
                <w:szCs w:val="18"/>
              </w:rPr>
              <w:t>33.8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E87CD5" w:rsidRDefault="00A92013"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Blackburn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15.4</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15.4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Blackburn St Mary's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14.2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Blackburn with Darwen Borough Council</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3.1</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&amp; The Fylde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5.0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5.0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 xml:space="preserve"> £246,000 </w:t>
            </w: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Airport Ltd (from July 2004)</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24.5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37.0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Borough Council</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17.4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 xml:space="preserve"> £697,600 </w:t>
            </w: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Coastal Housing</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Sixth Form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Transport Services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ind w:left="-108"/>
              <w:jc w:val="center"/>
              <w:rPr>
                <w:rFonts w:cs="Arial"/>
                <w:sz w:val="18"/>
                <w:szCs w:val="18"/>
              </w:rPr>
            </w:pPr>
            <w:r w:rsidRPr="00E87CD5">
              <w:rPr>
                <w:rFonts w:cs="Arial"/>
                <w:sz w:val="18"/>
                <w:szCs w:val="18"/>
              </w:rPr>
              <w:t>-12.5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Zoo (Grant Leisure)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5.5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7.1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19.6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8.8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rPr>
                <w:snapToGrid w:val="0"/>
                <w:sz w:val="18"/>
                <w:szCs w:val="18"/>
                <w:lang w:eastAsia="en-US"/>
              </w:rPr>
            </w:pPr>
            <w:r w:rsidRPr="00E87CD5">
              <w:rPr>
                <w:snapToGrid w:val="0"/>
                <w:sz w:val="18"/>
                <w:szCs w:val="18"/>
                <w:lang w:eastAsia="en-US"/>
              </w:rPr>
              <w:t>Blackpool, Fylde &amp; Wyre Society for the Blind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29.5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35.5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48.0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rPr>
                <w:rFonts w:cs="Arial"/>
                <w:sz w:val="18"/>
                <w:szCs w:val="18"/>
              </w:rPr>
            </w:pPr>
            <w:r w:rsidRPr="00E87CD5">
              <w:rPr>
                <w:rFonts w:cs="Arial"/>
                <w:sz w:val="18"/>
                <w:szCs w:val="18"/>
              </w:rPr>
              <w:t>Bootstrap Enterprise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0.2</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12.7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rPr>
                <w:rFonts w:cs="Arial"/>
                <w:sz w:val="18"/>
                <w:szCs w:val="18"/>
              </w:rPr>
            </w:pPr>
            <w:r w:rsidRPr="00E87CD5">
              <w:rPr>
                <w:rFonts w:cs="Arial"/>
                <w:sz w:val="18"/>
                <w:szCs w:val="18"/>
              </w:rPr>
              <w:t>Bulloughs (Highfield)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rPr>
                <w:rFonts w:cs="Arial"/>
                <w:sz w:val="18"/>
                <w:szCs w:val="18"/>
              </w:rPr>
            </w:pPr>
          </w:p>
        </w:tc>
      </w:tr>
      <w:tr w:rsidR="003606AE"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rPr>
                <w:rFonts w:cs="Arial"/>
                <w:sz w:val="18"/>
                <w:szCs w:val="18"/>
              </w:rPr>
            </w:pPr>
            <w:r w:rsidRPr="00E87CD5">
              <w:rPr>
                <w:rFonts w:cs="Arial"/>
                <w:sz w:val="18"/>
                <w:szCs w:val="18"/>
              </w:rPr>
              <w:t>Bulloughs (St Augustines)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14.4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14.4</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14.4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3606AE" w:rsidRPr="00E87CD5"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rPr>
                <w:rFonts w:cs="Arial"/>
                <w:sz w:val="18"/>
                <w:szCs w:val="18"/>
              </w:rPr>
            </w:pPr>
            <w:r w:rsidRPr="00E87CD5">
              <w:rPr>
                <w:rFonts w:cs="Arial"/>
                <w:sz w:val="18"/>
                <w:szCs w:val="18"/>
              </w:rPr>
              <w:t>Bulloughs (St Marys)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3606AE">
            <w:pPr>
              <w:autoSpaceDE w:val="0"/>
              <w:autoSpaceDN w:val="0"/>
              <w:adjustRightInd w:val="0"/>
              <w:jc w:val="center"/>
              <w:rPr>
                <w:rFonts w:cs="Arial"/>
                <w:sz w:val="18"/>
                <w:szCs w:val="18"/>
              </w:rPr>
            </w:pPr>
            <w:r w:rsidRPr="00E87CD5">
              <w:rPr>
                <w:rFonts w:cs="Arial"/>
                <w:sz w:val="18"/>
                <w:szCs w:val="18"/>
              </w:rPr>
              <w:t>16.5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E87CD5" w:rsidRDefault="003606AE" w:rsidP="00D25355">
            <w:pPr>
              <w:spacing w:before="60" w:after="60"/>
              <w:jc w:val="center"/>
              <w:rPr>
                <w:sz w:val="18"/>
                <w:szCs w:val="18"/>
              </w:rPr>
            </w:pPr>
          </w:p>
        </w:tc>
      </w:tr>
      <w:tr w:rsidR="00B51B16" w:rsidRPr="00E87CD5" w:rsidTr="00F6079E">
        <w:trPr>
          <w:cantSplit/>
          <w:trHeight w:val="397"/>
        </w:trPr>
        <w:tc>
          <w:tcPr>
            <w:tcW w:w="3168" w:type="dxa"/>
            <w:tcBorders>
              <w:top w:val="single" w:sz="4" w:space="0" w:color="auto"/>
              <w:left w:val="single" w:sz="4" w:space="0" w:color="auto"/>
              <w:right w:val="single" w:sz="4" w:space="0" w:color="auto"/>
            </w:tcBorders>
            <w:shd w:val="clear" w:color="auto" w:fill="F3F3F3"/>
          </w:tcPr>
          <w:p w:rsidR="00B51B16" w:rsidRPr="00E87CD5" w:rsidRDefault="00B51B16" w:rsidP="003606AE">
            <w:pPr>
              <w:rPr>
                <w:b/>
                <w:sz w:val="18"/>
              </w:rPr>
            </w:pPr>
          </w:p>
        </w:tc>
        <w:tc>
          <w:tcPr>
            <w:tcW w:w="1766"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ind w:left="-108"/>
              <w:jc w:val="center"/>
              <w:rPr>
                <w:b/>
                <w:color w:val="000000"/>
                <w:sz w:val="18"/>
              </w:rPr>
            </w:pPr>
            <w:r w:rsidRPr="00E87CD5">
              <w:rPr>
                <w:b/>
                <w:color w:val="000000"/>
                <w:sz w:val="18"/>
              </w:rPr>
              <w:t>2011/12</w:t>
            </w:r>
          </w:p>
        </w:tc>
        <w:tc>
          <w:tcPr>
            <w:tcW w:w="177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jc w:val="center"/>
              <w:rPr>
                <w:b/>
                <w:sz w:val="18"/>
              </w:rPr>
            </w:pPr>
            <w:r w:rsidRPr="00E87CD5">
              <w:rPr>
                <w:b/>
                <w:color w:val="000000"/>
                <w:sz w:val="18"/>
              </w:rPr>
              <w:t>2012/13</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jc w:val="center"/>
              <w:rPr>
                <w:b/>
                <w:sz w:val="18"/>
              </w:rPr>
            </w:pPr>
            <w:r w:rsidRPr="00E87CD5">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jc w:val="center"/>
              <w:rPr>
                <w:sz w:val="14"/>
                <w:szCs w:val="14"/>
              </w:rPr>
            </w:pPr>
            <w:r w:rsidRPr="00E87CD5">
              <w:rPr>
                <w:b/>
                <w:color w:val="000000"/>
                <w:sz w:val="18"/>
                <w:szCs w:val="18"/>
              </w:rPr>
              <w:t>Non-ill health early retirement allowance included for the 3 years 2011/14</w:t>
            </w:r>
          </w:p>
        </w:tc>
      </w:tr>
      <w:tr w:rsidR="00B51B16" w:rsidRPr="00E87CD5" w:rsidTr="00F6079E">
        <w:trPr>
          <w:cantSplit/>
          <w:trHeight w:val="397"/>
        </w:trPr>
        <w:tc>
          <w:tcPr>
            <w:tcW w:w="3168" w:type="dxa"/>
            <w:tcBorders>
              <w:left w:val="single" w:sz="4" w:space="0" w:color="auto"/>
              <w:bottom w:val="single" w:sz="4" w:space="0" w:color="auto"/>
              <w:right w:val="single" w:sz="4" w:space="0" w:color="auto"/>
            </w:tcBorders>
            <w:shd w:val="clear" w:color="auto" w:fill="F3F3F3"/>
            <w:vAlign w:val="center"/>
          </w:tcPr>
          <w:p w:rsidR="00B51B16" w:rsidRPr="00E87CD5" w:rsidRDefault="009227D1" w:rsidP="003606AE">
            <w:pPr>
              <w:rPr>
                <w:b/>
                <w:sz w:val="18"/>
              </w:rPr>
            </w:pPr>
            <w:r w:rsidRPr="00E87CD5">
              <w:rPr>
                <w:b/>
                <w:sz w:val="18"/>
              </w:rPr>
              <w:t>Employers</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jc w:val="center"/>
              <w:rPr>
                <w:b/>
                <w:sz w:val="14"/>
              </w:rPr>
            </w:pPr>
            <w:r w:rsidRPr="00E87CD5">
              <w:rPr>
                <w:b/>
                <w:sz w:val="14"/>
              </w:rPr>
              <w:t>Individual Adjust-ment)</w:t>
            </w:r>
          </w:p>
          <w:p w:rsidR="00B51B16" w:rsidRPr="00E87CD5" w:rsidRDefault="00B51B16" w:rsidP="003606AE">
            <w:pPr>
              <w:jc w:val="center"/>
              <w:rPr>
                <w:b/>
                <w:sz w:val="14"/>
              </w:rPr>
            </w:pPr>
            <w:r w:rsidRPr="00E87CD5">
              <w:rPr>
                <w:b/>
                <w:sz w:val="14"/>
              </w:rPr>
              <w:t>%</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jc w:val="center"/>
              <w:rPr>
                <w:b/>
                <w:sz w:val="14"/>
              </w:rPr>
            </w:pPr>
            <w:r w:rsidRPr="00E87CD5">
              <w:rPr>
                <w:b/>
                <w:sz w:val="14"/>
              </w:rPr>
              <w:t xml:space="preserve">Total Contribu-tion Rate </w:t>
            </w:r>
          </w:p>
          <w:p w:rsidR="00B51B16" w:rsidRPr="00E87CD5" w:rsidRDefault="00B51B16" w:rsidP="003606A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jc w:val="center"/>
              <w:rPr>
                <w:b/>
                <w:sz w:val="14"/>
              </w:rPr>
            </w:pPr>
            <w:r w:rsidRPr="00E87CD5">
              <w:rPr>
                <w:b/>
                <w:sz w:val="14"/>
              </w:rPr>
              <w:t>Individual Adjust-ment</w:t>
            </w:r>
            <w:r w:rsidRPr="00E87CD5">
              <w:rPr>
                <w:b/>
                <w:sz w:val="14"/>
              </w:rPr>
              <w:br/>
              <w:t>%</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jc w:val="center"/>
              <w:rPr>
                <w:b/>
                <w:sz w:val="14"/>
              </w:rPr>
            </w:pPr>
            <w:r w:rsidRPr="00E87CD5">
              <w:rPr>
                <w:b/>
                <w:sz w:val="14"/>
              </w:rPr>
              <w:t>Total Contribu-tion Rate</w:t>
            </w:r>
          </w:p>
          <w:p w:rsidR="00B51B16" w:rsidRPr="00E87CD5" w:rsidRDefault="00B51B16" w:rsidP="00B51B16">
            <w:pPr>
              <w:jc w:val="center"/>
              <w:rPr>
                <w:b/>
                <w:sz w:val="14"/>
              </w:rPr>
            </w:pPr>
            <w:r w:rsidRPr="00E87CD5">
              <w:rPr>
                <w:b/>
                <w:sz w:val="14"/>
              </w:rPr>
              <w:t>%</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jc w:val="center"/>
              <w:rPr>
                <w:b/>
                <w:sz w:val="14"/>
              </w:rPr>
            </w:pPr>
            <w:r w:rsidRPr="00E87CD5">
              <w:rPr>
                <w:b/>
                <w:sz w:val="14"/>
              </w:rPr>
              <w:t>Total Contribu-tion Rate</w:t>
            </w:r>
          </w:p>
          <w:p w:rsidR="00B51B16" w:rsidRPr="00E87CD5" w:rsidRDefault="00B51B16" w:rsidP="003606AE">
            <w:pPr>
              <w:jc w:val="center"/>
              <w:rPr>
                <w:b/>
                <w:sz w:val="14"/>
              </w:rPr>
            </w:pPr>
            <w:r w:rsidRPr="00E87CD5">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jc w:val="center"/>
              <w:rPr>
                <w:b/>
                <w:sz w:val="14"/>
                <w:szCs w:val="14"/>
              </w:rPr>
            </w:pPr>
            <w:r w:rsidRPr="00E87CD5">
              <w:rPr>
                <w:b/>
                <w:sz w:val="14"/>
                <w:szCs w:val="14"/>
              </w:rPr>
              <w:t>Amount</w:t>
            </w:r>
            <w:r w:rsidRPr="00E87CD5">
              <w:rPr>
                <w:b/>
                <w:sz w:val="14"/>
                <w:szCs w:val="14"/>
              </w:rPr>
              <w:br/>
              <w:t>£</w:t>
            </w:r>
          </w:p>
        </w:tc>
      </w:tr>
      <w:tr w:rsidR="00B51B16" w:rsidRPr="00E87CD5"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rPr>
                <w:snapToGrid w:val="0"/>
                <w:sz w:val="18"/>
                <w:szCs w:val="18"/>
                <w:lang w:eastAsia="en-US"/>
              </w:rPr>
            </w:pPr>
            <w:r w:rsidRPr="00E87CD5">
              <w:rPr>
                <w:snapToGrid w:val="0"/>
                <w:sz w:val="18"/>
                <w:szCs w:val="18"/>
                <w:lang w:eastAsia="en-US"/>
              </w:rPr>
              <w:t>Burnley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autoSpaceDE w:val="0"/>
              <w:autoSpaceDN w:val="0"/>
              <w:adjustRightInd w:val="0"/>
              <w:jc w:val="center"/>
              <w:rPr>
                <w:rFonts w:cs="Arial"/>
                <w:sz w:val="18"/>
                <w:szCs w:val="18"/>
              </w:rPr>
            </w:pPr>
            <w:r w:rsidRPr="00E87CD5">
              <w:rPr>
                <w:rFonts w:cs="Arial"/>
                <w:sz w:val="18"/>
                <w:szCs w:val="18"/>
              </w:rPr>
              <w:t>12.5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autoSpaceDE w:val="0"/>
              <w:autoSpaceDN w:val="0"/>
              <w:adjustRightInd w:val="0"/>
              <w:jc w:val="center"/>
              <w:rPr>
                <w:rFonts w:cs="Arial"/>
                <w:sz w:val="18"/>
                <w:szCs w:val="18"/>
              </w:rPr>
            </w:pPr>
            <w:r w:rsidRPr="00E87CD5">
              <w:rPr>
                <w:rFonts w:cs="Arial"/>
                <w:sz w:val="18"/>
                <w:szCs w:val="18"/>
              </w:rPr>
              <w:t>25.0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autoSpaceDE w:val="0"/>
              <w:autoSpaceDN w:val="0"/>
              <w:adjustRightInd w:val="0"/>
              <w:jc w:val="center"/>
              <w:rPr>
                <w:rFonts w:cs="Arial"/>
                <w:sz w:val="18"/>
                <w:szCs w:val="18"/>
              </w:rPr>
            </w:pPr>
            <w:r w:rsidRPr="00E87CD5">
              <w:rPr>
                <w:rFonts w:cs="Arial"/>
                <w:sz w:val="18"/>
                <w:szCs w:val="18"/>
              </w:rPr>
              <w:t>12.5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autoSpaceDE w:val="0"/>
              <w:autoSpaceDN w:val="0"/>
              <w:adjustRightInd w:val="0"/>
              <w:jc w:val="center"/>
              <w:rPr>
                <w:rFonts w:cs="Arial"/>
                <w:sz w:val="18"/>
                <w:szCs w:val="18"/>
              </w:rPr>
            </w:pPr>
            <w:r w:rsidRPr="00E87CD5">
              <w:rPr>
                <w:rFonts w:cs="Arial"/>
                <w:sz w:val="18"/>
                <w:szCs w:val="18"/>
              </w:rPr>
              <w:t>25.0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3606AE">
            <w:pPr>
              <w:autoSpaceDE w:val="0"/>
              <w:autoSpaceDN w:val="0"/>
              <w:adjustRightInd w:val="0"/>
              <w:jc w:val="center"/>
              <w:rPr>
                <w:rFonts w:cs="Arial"/>
                <w:sz w:val="18"/>
                <w:szCs w:val="18"/>
              </w:rPr>
            </w:pPr>
            <w:r w:rsidRPr="00E87CD5">
              <w:rPr>
                <w:rFonts w:cs="Arial"/>
                <w:sz w:val="18"/>
                <w:szCs w:val="18"/>
              </w:rPr>
              <w:t>25.0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rPr>
                <w:snapToGrid w:val="0"/>
                <w:sz w:val="18"/>
                <w:szCs w:val="18"/>
                <w:lang w:eastAsia="en-US"/>
              </w:rPr>
            </w:pPr>
            <w:r w:rsidRPr="00E87CD5">
              <w:rPr>
                <w:snapToGrid w:val="0"/>
                <w:sz w:val="18"/>
                <w:szCs w:val="18"/>
                <w:lang w:eastAsia="en-US"/>
              </w:rPr>
              <w:t>Burnley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2.3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2.3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14.8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rPr>
                <w:snapToGrid w:val="0"/>
                <w:sz w:val="18"/>
                <w:szCs w:val="18"/>
                <w:lang w:eastAsia="en-US"/>
              </w:rPr>
            </w:pPr>
            <w:r w:rsidRPr="00E87CD5">
              <w:rPr>
                <w:snapToGrid w:val="0"/>
                <w:sz w:val="18"/>
                <w:szCs w:val="18"/>
                <w:lang w:eastAsia="en-US"/>
              </w:rPr>
              <w:t>Calico Housing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6.8</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6.8</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19.3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19.3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rPr>
                <w:snapToGrid w:val="0"/>
                <w:sz w:val="18"/>
                <w:szCs w:val="18"/>
                <w:lang w:eastAsia="en-US"/>
              </w:rPr>
            </w:pPr>
            <w:r w:rsidRPr="00E87CD5">
              <w:rPr>
                <w:snapToGrid w:val="0"/>
                <w:sz w:val="18"/>
                <w:szCs w:val="18"/>
                <w:lang w:eastAsia="en-US"/>
              </w:rPr>
              <w:t>CAPITA</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12.2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24.7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14.1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26.6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28.5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rPr>
                <w:rFonts w:cs="Arial"/>
                <w:sz w:val="18"/>
                <w:szCs w:val="18"/>
              </w:rPr>
            </w:pPr>
            <w:r w:rsidRPr="00E87CD5">
              <w:rPr>
                <w:rFonts w:cs="Arial"/>
                <w:sz w:val="18"/>
                <w:szCs w:val="18"/>
              </w:rPr>
              <w:t>Capita (Rossendale BC)</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3.1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4.6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17.1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rPr>
                <w:snapToGrid w:val="0"/>
                <w:sz w:val="18"/>
                <w:szCs w:val="18"/>
                <w:lang w:eastAsia="en-US"/>
              </w:rPr>
            </w:pPr>
            <w:r w:rsidRPr="00E87CD5">
              <w:rPr>
                <w:snapToGrid w:val="0"/>
                <w:sz w:val="18"/>
                <w:szCs w:val="18"/>
                <w:lang w:eastAsia="en-US"/>
              </w:rPr>
              <w:lastRenderedPageBreak/>
              <w:t>Cardinal Newman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3.3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3.3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15.8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rPr>
                <w:rFonts w:cs="Arial"/>
                <w:sz w:val="18"/>
                <w:szCs w:val="18"/>
              </w:rPr>
            </w:pPr>
            <w:r w:rsidRPr="00E87CD5">
              <w:rPr>
                <w:rFonts w:cs="Arial"/>
                <w:sz w:val="18"/>
                <w:szCs w:val="18"/>
              </w:rPr>
              <w:t>Caritas Care Ltd (was Catholic Caring Services)</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B51B16">
            <w:pPr>
              <w:autoSpaceDE w:val="0"/>
              <w:autoSpaceDN w:val="0"/>
              <w:adjustRightInd w:val="0"/>
              <w:jc w:val="center"/>
              <w:rPr>
                <w:rFonts w:cs="Arial"/>
                <w:sz w:val="18"/>
                <w:szCs w:val="18"/>
              </w:rPr>
            </w:pPr>
            <w:r w:rsidRPr="00E87CD5">
              <w:rPr>
                <w:rFonts w:cs="Arial"/>
                <w:sz w:val="18"/>
                <w:szCs w:val="18"/>
              </w:rPr>
              <w:t>18.7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D25355">
            <w:pPr>
              <w:spacing w:before="60" w:after="60"/>
              <w:jc w:val="center"/>
              <w:rPr>
                <w:sz w:val="18"/>
                <w:szCs w:val="18"/>
              </w:rPr>
            </w:pPr>
          </w:p>
        </w:tc>
      </w:tr>
      <w:tr w:rsidR="00B51B16"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rPr>
                <w:rFonts w:cs="Arial"/>
                <w:sz w:val="18"/>
                <w:szCs w:val="18"/>
              </w:rPr>
            </w:pPr>
            <w:r w:rsidRPr="00E87CD5">
              <w:rPr>
                <w:rFonts w:cs="Arial"/>
                <w:sz w:val="18"/>
                <w:szCs w:val="18"/>
              </w:rPr>
              <w:t>Catterall Parish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autoSpaceDE w:val="0"/>
              <w:autoSpaceDN w:val="0"/>
              <w:adjustRightInd w:val="0"/>
              <w:jc w:val="center"/>
              <w:rPr>
                <w:rFonts w:cs="Arial"/>
                <w:sz w:val="18"/>
                <w:szCs w:val="18"/>
              </w:rPr>
            </w:pPr>
            <w:r w:rsidRPr="00E87CD5">
              <w:rPr>
                <w:rFonts w:cs="Arial"/>
                <w:sz w:val="18"/>
                <w:szCs w:val="18"/>
              </w:rPr>
              <w:t>2.3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autoSpaceDE w:val="0"/>
              <w:autoSpaceDN w:val="0"/>
              <w:adjustRightInd w:val="0"/>
              <w:jc w:val="center"/>
              <w:rPr>
                <w:rFonts w:cs="Arial"/>
                <w:sz w:val="18"/>
                <w:szCs w:val="18"/>
              </w:rPr>
            </w:pPr>
            <w:r w:rsidRPr="00E87CD5">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autoSpaceDE w:val="0"/>
              <w:autoSpaceDN w:val="0"/>
              <w:adjustRightInd w:val="0"/>
              <w:jc w:val="center"/>
              <w:rPr>
                <w:rFonts w:cs="Arial"/>
                <w:sz w:val="18"/>
                <w:szCs w:val="18"/>
              </w:rPr>
            </w:pPr>
            <w:r w:rsidRPr="00E87CD5">
              <w:rPr>
                <w:rFonts w:cs="Arial"/>
                <w:sz w:val="18"/>
                <w:szCs w:val="18"/>
              </w:rPr>
              <w:t>2.3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autoSpaceDE w:val="0"/>
              <w:autoSpaceDN w:val="0"/>
              <w:adjustRightInd w:val="0"/>
              <w:jc w:val="center"/>
              <w:rPr>
                <w:rFonts w:cs="Arial"/>
                <w:sz w:val="18"/>
                <w:szCs w:val="18"/>
              </w:rPr>
            </w:pPr>
            <w:r w:rsidRPr="00E87CD5">
              <w:rPr>
                <w:rFonts w:cs="Arial"/>
                <w:sz w:val="18"/>
                <w:szCs w:val="18"/>
              </w:rPr>
              <w:t>14.8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autoSpaceDE w:val="0"/>
              <w:autoSpaceDN w:val="0"/>
              <w:adjustRightInd w:val="0"/>
              <w:jc w:val="center"/>
              <w:rPr>
                <w:rFonts w:cs="Arial"/>
                <w:sz w:val="18"/>
                <w:szCs w:val="18"/>
              </w:rPr>
            </w:pPr>
            <w:r w:rsidRPr="00E87CD5">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autoSpaceDE w:val="0"/>
              <w:autoSpaceDN w:val="0"/>
              <w:adjustRightInd w:val="0"/>
              <w:jc w:val="center"/>
              <w:rPr>
                <w:rFonts w:cs="Arial"/>
                <w:sz w:val="18"/>
                <w:szCs w:val="18"/>
              </w:rPr>
            </w:pPr>
            <w:r w:rsidRPr="00E87CD5">
              <w:rPr>
                <w:rFonts w:cs="Arial"/>
                <w:sz w:val="18"/>
                <w:szCs w:val="18"/>
              </w:rPr>
              <w:t>14.8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E87CD5" w:rsidRDefault="00B51B16" w:rsidP="005A09E8">
            <w:pPr>
              <w:jc w:val="center"/>
              <w:rPr>
                <w:rFonts w:cs="Arial"/>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Chorley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6.8</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7.3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19.8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jc w:val="center"/>
              <w:rPr>
                <w:rFonts w:cs="Arial"/>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Chorley Community Housing</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jc w:val="center"/>
              <w:rPr>
                <w:rFonts w:cs="Arial"/>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Church Road Methodist Day Centre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6.7</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19.2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7.0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19.5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19.8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jc w:val="center"/>
              <w:rPr>
                <w:rFonts w:cs="Arial"/>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Commission for Education &amp; Formation</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jc w:val="center"/>
              <w:rPr>
                <w:rFonts w:cs="Arial"/>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rPr>
                <w:snapToGrid w:val="0"/>
                <w:sz w:val="18"/>
                <w:szCs w:val="18"/>
                <w:lang w:eastAsia="en-US"/>
              </w:rPr>
            </w:pPr>
            <w:r w:rsidRPr="00E87CD5">
              <w:rPr>
                <w:snapToGrid w:val="0"/>
                <w:sz w:val="18"/>
                <w:szCs w:val="18"/>
                <w:lang w:eastAsia="en-US"/>
              </w:rPr>
              <w:t>Community Council of Lancashire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20.8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rPr>
                <w:snapToGrid w:val="0"/>
                <w:sz w:val="18"/>
                <w:szCs w:val="18"/>
                <w:lang w:eastAsia="en-US"/>
              </w:rPr>
            </w:pPr>
            <w:r w:rsidRPr="00E87CD5">
              <w:rPr>
                <w:snapToGrid w:val="0"/>
                <w:sz w:val="18"/>
                <w:szCs w:val="18"/>
                <w:lang w:eastAsia="en-US"/>
              </w:rPr>
              <w:t>Community Gateway Association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1.7</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15.5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Connaught Environmental (Blackpool BC)</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-3.9</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-3.9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8.6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Connaught Environmental (Blackpool Coastal Housing)</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0.5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13.0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13.0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Consultant Caterers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rPr>
                <w:snapToGrid w:val="0"/>
                <w:sz w:val="18"/>
                <w:szCs w:val="18"/>
                <w:lang w:eastAsia="en-US"/>
              </w:rPr>
            </w:pPr>
            <w:r w:rsidRPr="00E87CD5">
              <w:rPr>
                <w:snapToGrid w:val="0"/>
                <w:sz w:val="18"/>
                <w:szCs w:val="18"/>
                <w:lang w:eastAsia="en-US"/>
              </w:rPr>
              <w:t>Contour Housing Association</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4.1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4.1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5A09E8"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rPr>
                <w:rFonts w:cs="Arial"/>
                <w:sz w:val="18"/>
                <w:szCs w:val="18"/>
              </w:rPr>
            </w:pPr>
            <w:r w:rsidRPr="00E87CD5">
              <w:rPr>
                <w:rFonts w:cs="Arial"/>
                <w:sz w:val="18"/>
                <w:szCs w:val="18"/>
              </w:rPr>
              <w:t>Creative Support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autoSpaceDE w:val="0"/>
              <w:autoSpaceDN w:val="0"/>
              <w:adjustRightInd w:val="0"/>
              <w:jc w:val="center"/>
              <w:rPr>
                <w:rFonts w:cs="Arial"/>
                <w:sz w:val="18"/>
                <w:szCs w:val="18"/>
              </w:rPr>
            </w:pPr>
            <w:r w:rsidRPr="00E87CD5">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E87CD5" w:rsidRDefault="005A09E8" w:rsidP="005A09E8">
            <w:pPr>
              <w:spacing w:before="60" w:after="60"/>
              <w:jc w:val="center"/>
              <w:rPr>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rPr>
                <w:sz w:val="18"/>
                <w:szCs w:val="18"/>
              </w:rPr>
            </w:pPr>
            <w:r w:rsidRPr="00E87CD5">
              <w:rPr>
                <w:sz w:val="18"/>
                <w:szCs w:val="18"/>
              </w:rPr>
              <w:t>CXL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-0.6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-0.6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rPr>
                <w:sz w:val="18"/>
                <w:szCs w:val="18"/>
              </w:rPr>
            </w:pPr>
            <w:r w:rsidRPr="00E87CD5">
              <w:rPr>
                <w:sz w:val="18"/>
                <w:szCs w:val="18"/>
              </w:rPr>
              <w:t>Danfo (UK)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172.2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184.7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172.2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184.7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172.2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184.7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rPr>
                <w:rFonts w:cs="Arial"/>
                <w:sz w:val="18"/>
                <w:szCs w:val="18"/>
              </w:rPr>
            </w:pPr>
            <w:r w:rsidRPr="00E87CD5">
              <w:rPr>
                <w:rFonts w:cs="Arial"/>
                <w:sz w:val="18"/>
                <w:szCs w:val="18"/>
              </w:rPr>
              <w:t>Darwen Aldridge Community Academy</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rPr>
                <w:rFonts w:cs="Arial"/>
                <w:sz w:val="18"/>
                <w:szCs w:val="18"/>
              </w:rPr>
            </w:pPr>
            <w:r w:rsidRPr="00E87CD5">
              <w:rPr>
                <w:rFonts w:cs="Arial"/>
                <w:sz w:val="18"/>
                <w:szCs w:val="18"/>
              </w:rPr>
              <w:t>E ON UK Plc</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6.2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rPr>
                <w:snapToGrid w:val="0"/>
                <w:sz w:val="18"/>
                <w:szCs w:val="18"/>
                <w:lang w:eastAsia="en-US"/>
              </w:rPr>
            </w:pPr>
            <w:r w:rsidRPr="00E87CD5">
              <w:rPr>
                <w:snapToGrid w:val="0"/>
                <w:sz w:val="18"/>
                <w:szCs w:val="18"/>
                <w:lang w:eastAsia="en-US"/>
              </w:rPr>
              <w:t>Edge Hill University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14.5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rPr>
                <w:snapToGrid w:val="0"/>
                <w:sz w:val="18"/>
                <w:szCs w:val="18"/>
                <w:lang w:eastAsia="en-US"/>
              </w:rPr>
            </w:pPr>
            <w:r w:rsidRPr="00E87CD5">
              <w:rPr>
                <w:snapToGrid w:val="0"/>
                <w:sz w:val="18"/>
                <w:szCs w:val="18"/>
                <w:lang w:eastAsia="en-US"/>
              </w:rPr>
              <w:t>Enterprise Managed Services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14.9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16.1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rPr>
                <w:snapToGrid w:val="0"/>
                <w:sz w:val="18"/>
                <w:szCs w:val="18"/>
                <w:lang w:eastAsia="en-US"/>
              </w:rPr>
            </w:pPr>
            <w:r w:rsidRPr="00E87CD5">
              <w:rPr>
                <w:snapToGrid w:val="0"/>
                <w:sz w:val="18"/>
                <w:szCs w:val="18"/>
                <w:lang w:eastAsia="en-US"/>
              </w:rPr>
              <w:t>Eric Wright Commercial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5.4</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17.9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5.4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17.9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17.9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rPr>
                <w:rFonts w:cs="Arial"/>
                <w:sz w:val="18"/>
                <w:szCs w:val="18"/>
              </w:rPr>
            </w:pPr>
            <w:r w:rsidRPr="00E87CD5">
              <w:rPr>
                <w:rFonts w:cs="Arial"/>
                <w:sz w:val="18"/>
                <w:szCs w:val="18"/>
              </w:rPr>
              <w:t>Fulwood Academy</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11.2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rPr>
                <w:snapToGrid w:val="0"/>
                <w:sz w:val="18"/>
                <w:szCs w:val="18"/>
                <w:lang w:eastAsia="en-US"/>
              </w:rPr>
            </w:pPr>
            <w:r w:rsidRPr="00E87CD5">
              <w:rPr>
                <w:snapToGrid w:val="0"/>
                <w:sz w:val="18"/>
                <w:szCs w:val="18"/>
                <w:lang w:eastAsia="en-US"/>
              </w:rPr>
              <w:t>Fylde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7.0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8.3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20.8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9227D1" w:rsidRPr="00E87CD5"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rPr>
                <w:rFonts w:cs="Arial"/>
                <w:sz w:val="18"/>
                <w:szCs w:val="18"/>
              </w:rPr>
            </w:pPr>
            <w:r w:rsidRPr="00E87CD5">
              <w:rPr>
                <w:rFonts w:cs="Arial"/>
                <w:sz w:val="18"/>
                <w:szCs w:val="18"/>
              </w:rPr>
              <w:t>Fylde Coast YMCA (Fylde)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bl>
    <w:p w:rsidR="00B8085C" w:rsidRPr="00E87CD5" w:rsidRDefault="00B8085C" w:rsidP="00B8085C">
      <w:pPr>
        <w:spacing w:before="240"/>
        <w:rPr>
          <w:sz w:val="16"/>
        </w:rPr>
      </w:pPr>
    </w:p>
    <w:tbl>
      <w:tblPr>
        <w:tblpPr w:leftFromText="180" w:rightFromText="180" w:vertAnchor="text" w:horzAnchor="margin" w:tblpY="333"/>
        <w:tblW w:w="10286" w:type="dxa"/>
        <w:shd w:val="clear" w:color="auto" w:fill="F3F3F3"/>
        <w:tblLayout w:type="fixed"/>
        <w:tblLook w:val="0000" w:firstRow="0" w:lastRow="0" w:firstColumn="0" w:lastColumn="0" w:noHBand="0" w:noVBand="0"/>
      </w:tblPr>
      <w:tblGrid>
        <w:gridCol w:w="3194"/>
        <w:gridCol w:w="870"/>
        <w:gridCol w:w="870"/>
        <w:gridCol w:w="870"/>
        <w:gridCol w:w="870"/>
        <w:gridCol w:w="870"/>
        <w:gridCol w:w="870"/>
        <w:gridCol w:w="1872"/>
      </w:tblGrid>
      <w:tr w:rsidR="009227D1" w:rsidRPr="00E87CD5" w:rsidTr="00F6079E">
        <w:trPr>
          <w:cantSplit/>
          <w:trHeight w:val="835"/>
        </w:trPr>
        <w:tc>
          <w:tcPr>
            <w:tcW w:w="3194" w:type="dxa"/>
            <w:tcBorders>
              <w:top w:val="single" w:sz="4" w:space="0" w:color="auto"/>
              <w:left w:val="single" w:sz="4" w:space="0" w:color="auto"/>
              <w:right w:val="single" w:sz="4" w:space="0" w:color="auto"/>
            </w:tcBorders>
            <w:shd w:val="clear" w:color="auto" w:fill="F3F3F3"/>
          </w:tcPr>
          <w:p w:rsidR="009227D1" w:rsidRPr="00E87CD5" w:rsidRDefault="009227D1" w:rsidP="009227D1">
            <w:pPr>
              <w:rPr>
                <w:b/>
                <w:sz w:val="18"/>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ind w:left="-108"/>
              <w:jc w:val="center"/>
              <w:rPr>
                <w:b/>
                <w:color w:val="000000"/>
                <w:sz w:val="18"/>
              </w:rPr>
            </w:pPr>
            <w:r w:rsidRPr="00E87CD5">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8"/>
              </w:rPr>
            </w:pPr>
            <w:r w:rsidRPr="00E87CD5">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8"/>
              </w:rPr>
            </w:pPr>
            <w:r w:rsidRPr="00E87CD5">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sz w:val="14"/>
                <w:szCs w:val="14"/>
              </w:rPr>
            </w:pPr>
            <w:r w:rsidRPr="00E87CD5">
              <w:rPr>
                <w:b/>
                <w:color w:val="000000"/>
                <w:sz w:val="18"/>
                <w:szCs w:val="18"/>
              </w:rPr>
              <w:t>Non-ill health early retirement allowance included for the 3 years 2011/14</w:t>
            </w:r>
          </w:p>
        </w:tc>
      </w:tr>
      <w:tr w:rsidR="009227D1" w:rsidRPr="00E87CD5" w:rsidTr="00F6079E">
        <w:trPr>
          <w:cantSplit/>
          <w:trHeight w:val="835"/>
        </w:trPr>
        <w:tc>
          <w:tcPr>
            <w:tcW w:w="3194" w:type="dxa"/>
            <w:tcBorders>
              <w:left w:val="single" w:sz="4" w:space="0" w:color="auto"/>
              <w:bottom w:val="single" w:sz="4" w:space="0" w:color="auto"/>
              <w:right w:val="single" w:sz="4" w:space="0" w:color="auto"/>
            </w:tcBorders>
            <w:shd w:val="clear" w:color="auto" w:fill="F3F3F3"/>
            <w:vAlign w:val="center"/>
          </w:tcPr>
          <w:p w:rsidR="009227D1" w:rsidRPr="00E87CD5" w:rsidRDefault="009227D1" w:rsidP="009227D1">
            <w:pPr>
              <w:rPr>
                <w:b/>
                <w:sz w:val="18"/>
              </w:rPr>
            </w:pPr>
            <w:r w:rsidRPr="00E87CD5">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rPr>
            </w:pPr>
            <w:r w:rsidRPr="00E87CD5">
              <w:rPr>
                <w:b/>
                <w:sz w:val="14"/>
              </w:rPr>
              <w:t>Individual Adjust-ment)</w:t>
            </w:r>
          </w:p>
          <w:p w:rsidR="009227D1" w:rsidRPr="00E87CD5" w:rsidRDefault="009227D1" w:rsidP="009227D1">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rPr>
            </w:pPr>
            <w:r w:rsidRPr="00E87CD5">
              <w:rPr>
                <w:b/>
                <w:sz w:val="14"/>
              </w:rPr>
              <w:t xml:space="preserve">Total Contribu-tion Rate </w:t>
            </w:r>
          </w:p>
          <w:p w:rsidR="009227D1" w:rsidRPr="00E87CD5" w:rsidRDefault="009227D1" w:rsidP="009227D1">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rPr>
            </w:pPr>
            <w:r w:rsidRPr="00E87CD5">
              <w:rPr>
                <w:b/>
                <w:sz w:val="14"/>
              </w:rPr>
              <w:t>Total Contribu-tion Rate</w:t>
            </w:r>
          </w:p>
          <w:p w:rsidR="009227D1" w:rsidRPr="00E87CD5" w:rsidRDefault="009227D1" w:rsidP="009227D1">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rPr>
            </w:pPr>
            <w:r w:rsidRPr="00E87CD5">
              <w:rPr>
                <w:b/>
                <w:sz w:val="14"/>
              </w:rPr>
              <w:t>Total Contribu-tion Rate</w:t>
            </w:r>
          </w:p>
          <w:p w:rsidR="009227D1" w:rsidRPr="00E87CD5" w:rsidRDefault="009227D1" w:rsidP="009227D1">
            <w:pPr>
              <w:jc w:val="center"/>
              <w:rPr>
                <w:b/>
                <w:sz w:val="14"/>
              </w:rPr>
            </w:pPr>
            <w:r w:rsidRPr="00E87CD5">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jc w:val="center"/>
              <w:rPr>
                <w:b/>
                <w:sz w:val="14"/>
                <w:szCs w:val="14"/>
              </w:rPr>
            </w:pPr>
            <w:r w:rsidRPr="00E87CD5">
              <w:rPr>
                <w:b/>
                <w:sz w:val="14"/>
                <w:szCs w:val="14"/>
              </w:rPr>
              <w:t>Amount</w:t>
            </w:r>
            <w:r w:rsidRPr="00E87CD5">
              <w:rPr>
                <w:b/>
                <w:sz w:val="14"/>
                <w:szCs w:val="14"/>
              </w:rPr>
              <w:br/>
              <w:t>£</w:t>
            </w:r>
          </w:p>
        </w:tc>
      </w:tr>
      <w:tr w:rsidR="009227D1" w:rsidRPr="00E87CD5" w:rsidTr="00F6079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spacing w:before="60" w:after="60"/>
              <w:rPr>
                <w:snapToGrid w:val="0"/>
                <w:sz w:val="18"/>
                <w:szCs w:val="18"/>
                <w:lang w:eastAsia="en-US"/>
              </w:rPr>
            </w:pPr>
            <w:r w:rsidRPr="00E87CD5">
              <w:rPr>
                <w:snapToGrid w:val="0"/>
                <w:sz w:val="18"/>
                <w:szCs w:val="18"/>
                <w:lang w:eastAsia="en-US"/>
              </w:rPr>
              <w:t>Fylde Community Link</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9227D1">
            <w:pPr>
              <w:autoSpaceDE w:val="0"/>
              <w:autoSpaceDN w:val="0"/>
              <w:adjustRightInd w:val="0"/>
              <w:jc w:val="center"/>
              <w:rPr>
                <w:rFonts w:cs="Arial"/>
                <w:sz w:val="18"/>
                <w:szCs w:val="18"/>
              </w:rPr>
            </w:pPr>
            <w:r w:rsidRPr="00E87CD5">
              <w:rPr>
                <w:rFonts w:cs="Arial"/>
                <w:sz w:val="18"/>
                <w:szCs w:val="18"/>
              </w:rPr>
              <w:t>16.8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E87CD5" w:rsidRDefault="009227D1" w:rsidP="005A09E8">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rPr>
                <w:snapToGrid w:val="0"/>
                <w:sz w:val="18"/>
                <w:szCs w:val="18"/>
                <w:lang w:eastAsia="en-US"/>
              </w:rPr>
            </w:pPr>
            <w:r w:rsidRPr="00E87CD5">
              <w:rPr>
                <w:snapToGrid w:val="0"/>
                <w:sz w:val="18"/>
                <w:szCs w:val="18"/>
                <w:lang w:eastAsia="en-US"/>
              </w:rPr>
              <w:t>Galloways Society for the Blind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5A09E8">
            <w:pPr>
              <w:spacing w:before="60" w:after="60"/>
              <w:jc w:val="center"/>
              <w:rPr>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Garstang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Housing Pendle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lastRenderedPageBreak/>
              <w:t>Hyndburn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Hyndburn Homes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I Care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 xml:space="preserve">Kirkham Grammar School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Kirkland Parish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Lancashire &amp; Blackpool Tourist Board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Lancashire County Branch Unison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Lancashire County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Lancashire Fire &amp; Rescue Service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£199,000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Lancashire Police Authority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£450,500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Lancashire Probation Committee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Lancaster &amp; Morecambe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Lancaster City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Lancaster University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Leisure in Hyndburn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 xml:space="preserve">  </w:t>
            </w: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Liberata</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Liberata UK Ltd (Chorley)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Lytham Schools Foundation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Mellor's (formerly Wyre)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Mellor's Catering (Cardinal Newman)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Myerscough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Nelson and Colne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New Fylde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r w:rsidR="00F6079E" w:rsidRPr="00E87CD5" w:rsidTr="0046029E">
        <w:trPr>
          <w:cantSplit/>
          <w:trHeight w:val="552"/>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New Progress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9227D1">
            <w:pPr>
              <w:spacing w:before="60" w:after="60"/>
              <w:jc w:val="center"/>
              <w:rPr>
                <w:color w:val="3366FF"/>
                <w:sz w:val="18"/>
                <w:szCs w:val="18"/>
              </w:rPr>
            </w:pPr>
          </w:p>
        </w:tc>
      </w:tr>
    </w:tbl>
    <w:p w:rsidR="007D4ABB" w:rsidRPr="00E87CD5" w:rsidRDefault="007D4ABB" w:rsidP="00B8085C">
      <w:pPr>
        <w:spacing w:before="240"/>
        <w:rPr>
          <w:sz w:val="16"/>
        </w:rPr>
      </w:pPr>
    </w:p>
    <w:p w:rsidR="009227D1" w:rsidRPr="00E87CD5" w:rsidRDefault="009227D1"/>
    <w:p w:rsidR="009227D1" w:rsidRPr="00E87CD5" w:rsidRDefault="009227D1"/>
    <w:tbl>
      <w:tblPr>
        <w:tblpPr w:leftFromText="180" w:rightFromText="180" w:vertAnchor="page" w:horzAnchor="margin" w:tblpY="905"/>
        <w:tblW w:w="10286" w:type="dxa"/>
        <w:shd w:val="clear" w:color="auto" w:fill="F3F3F3"/>
        <w:tblLayout w:type="fixed"/>
        <w:tblLook w:val="0000" w:firstRow="0" w:lastRow="0" w:firstColumn="0" w:lastColumn="0" w:noHBand="0" w:noVBand="0"/>
      </w:tblPr>
      <w:tblGrid>
        <w:gridCol w:w="3194"/>
        <w:gridCol w:w="870"/>
        <w:gridCol w:w="870"/>
        <w:gridCol w:w="870"/>
        <w:gridCol w:w="870"/>
        <w:gridCol w:w="870"/>
        <w:gridCol w:w="870"/>
        <w:gridCol w:w="1872"/>
      </w:tblGrid>
      <w:tr w:rsidR="00F6079E" w:rsidRPr="00E87CD5" w:rsidTr="009227D1">
        <w:trPr>
          <w:cantSplit/>
          <w:trHeight w:val="1124"/>
        </w:trPr>
        <w:tc>
          <w:tcPr>
            <w:tcW w:w="3194" w:type="dxa"/>
            <w:tcBorders>
              <w:top w:val="single" w:sz="4" w:space="0" w:color="auto"/>
              <w:left w:val="single" w:sz="4" w:space="0" w:color="auto"/>
              <w:right w:val="single" w:sz="4" w:space="0" w:color="auto"/>
            </w:tcBorders>
            <w:shd w:val="clear" w:color="auto" w:fill="F3F3F3"/>
          </w:tcPr>
          <w:p w:rsidR="00F6079E" w:rsidRPr="00E87CD5" w:rsidRDefault="00F6079E" w:rsidP="00F6079E">
            <w:pPr>
              <w:rPr>
                <w:b/>
                <w:sz w:val="18"/>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ind w:left="-108"/>
              <w:jc w:val="center"/>
              <w:rPr>
                <w:b/>
                <w:color w:val="000000"/>
                <w:sz w:val="18"/>
              </w:rPr>
            </w:pPr>
            <w:r w:rsidRPr="00E87CD5">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8"/>
              </w:rPr>
            </w:pPr>
            <w:r w:rsidRPr="00E87CD5">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8"/>
              </w:rPr>
            </w:pPr>
            <w:r w:rsidRPr="00E87CD5">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sz w:val="14"/>
                <w:szCs w:val="14"/>
              </w:rPr>
            </w:pPr>
            <w:r w:rsidRPr="00E87CD5">
              <w:rPr>
                <w:b/>
                <w:color w:val="000000"/>
                <w:sz w:val="18"/>
                <w:szCs w:val="18"/>
              </w:rPr>
              <w:t>Non-ill health early retirement allowance included for the 3 years 2011/14</w:t>
            </w:r>
          </w:p>
        </w:tc>
      </w:tr>
      <w:tr w:rsidR="00F6079E" w:rsidRPr="00E87CD5" w:rsidTr="007D4ABB">
        <w:trPr>
          <w:cantSplit/>
          <w:trHeight w:val="861"/>
        </w:trPr>
        <w:tc>
          <w:tcPr>
            <w:tcW w:w="3194" w:type="dxa"/>
            <w:tcBorders>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b/>
                <w:sz w:val="18"/>
              </w:rPr>
            </w:pPr>
            <w:r w:rsidRPr="00E87CD5">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Individual Adjust-ment)</w:t>
            </w:r>
          </w:p>
          <w:p w:rsidR="00F6079E" w:rsidRPr="00E87CD5" w:rsidRDefault="00F6079E" w:rsidP="00F6079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 xml:space="preserve">Total Contribu-tion Rate </w:t>
            </w:r>
          </w:p>
          <w:p w:rsidR="00F6079E" w:rsidRPr="00E87CD5" w:rsidRDefault="00F6079E" w:rsidP="00F6079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Total Contribu-tion Rate</w:t>
            </w:r>
          </w:p>
          <w:p w:rsidR="00F6079E" w:rsidRPr="00E87CD5" w:rsidRDefault="00F6079E" w:rsidP="00F6079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Total Contribu-tion Rate</w:t>
            </w:r>
          </w:p>
          <w:p w:rsidR="00F6079E" w:rsidRPr="00E87CD5" w:rsidRDefault="00F6079E" w:rsidP="00F6079E">
            <w:pPr>
              <w:jc w:val="center"/>
              <w:rPr>
                <w:b/>
                <w:sz w:val="14"/>
              </w:rPr>
            </w:pPr>
            <w:r w:rsidRPr="00E87CD5">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szCs w:val="14"/>
              </w:rPr>
            </w:pPr>
            <w:r w:rsidRPr="00E87CD5">
              <w:rPr>
                <w:b/>
                <w:sz w:val="14"/>
                <w:szCs w:val="14"/>
              </w:rPr>
              <w:t>Amount</w:t>
            </w:r>
            <w:r w:rsidRPr="00E87CD5">
              <w:rPr>
                <w:b/>
                <w:sz w:val="14"/>
                <w:szCs w:val="14"/>
              </w:rPr>
              <w:br/>
              <w:t>£</w:t>
            </w: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NHS PCT Blackburn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NIC Services Group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North Western &amp; North Wales Sea Fisheries Committee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Northgate Managed Services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NSL Ltd (Lancaster)</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NSL Ltd (Wyre BC)</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ind w:right="8"/>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Ormerod Home Trust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28.0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Our Lady Queen of Peace (Bullough Contract Services)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Pendle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Pendle Leisure Trust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Penwortham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Pilling Parish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Preston Care and Repair</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Preston City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Preston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 xml:space="preserve">Preston Council for Voluntary Services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Progress Care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Progress Housing Group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Progress Recruitments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Queen Elizabeth's Grammar School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Ribble Valley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17.1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Ribble Valley Homes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Rossendale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29.3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Rossendale Leisure Trust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Rossendale Transport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23.2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40.3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Runshaw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1D3559">
            <w:pPr>
              <w:rPr>
                <w:rFonts w:cs="Arial"/>
                <w:sz w:val="18"/>
                <w:szCs w:val="18"/>
              </w:rPr>
            </w:pPr>
            <w:r w:rsidRPr="00E87CD5">
              <w:rPr>
                <w:rFonts w:cs="Arial"/>
                <w:sz w:val="18"/>
                <w:szCs w:val="18"/>
              </w:rPr>
              <w:t>Sig</w:t>
            </w:r>
            <w:r w:rsidR="001D3559" w:rsidRPr="00E87CD5">
              <w:rPr>
                <w:rFonts w:cs="Arial"/>
                <w:sz w:val="18"/>
                <w:szCs w:val="18"/>
              </w:rPr>
              <w:t>n</w:t>
            </w:r>
            <w:r w:rsidRPr="00E87CD5">
              <w:rPr>
                <w:rFonts w:cs="Arial"/>
                <w:sz w:val="18"/>
                <w:szCs w:val="18"/>
              </w:rPr>
              <w:t>posts MARC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bl>
    <w:p w:rsidR="007D4ABB" w:rsidRPr="00E87CD5" w:rsidRDefault="007D4ABB" w:rsidP="00B8085C">
      <w:pPr>
        <w:spacing w:before="240"/>
        <w:rPr>
          <w:sz w:val="16"/>
        </w:rPr>
      </w:pPr>
      <w:r w:rsidRPr="00E87CD5">
        <w:rPr>
          <w:sz w:val="16"/>
        </w:rPr>
        <w:br w:type="page"/>
      </w:r>
    </w:p>
    <w:tbl>
      <w:tblPr>
        <w:tblpPr w:leftFromText="180" w:rightFromText="180" w:vertAnchor="page" w:horzAnchor="margin" w:tblpY="905"/>
        <w:tblW w:w="10286" w:type="dxa"/>
        <w:shd w:val="clear" w:color="auto" w:fill="F3F3F3"/>
        <w:tblLayout w:type="fixed"/>
        <w:tblLook w:val="0000" w:firstRow="0" w:lastRow="0" w:firstColumn="0" w:lastColumn="0" w:noHBand="0" w:noVBand="0"/>
      </w:tblPr>
      <w:tblGrid>
        <w:gridCol w:w="3194"/>
        <w:gridCol w:w="870"/>
        <w:gridCol w:w="870"/>
        <w:gridCol w:w="870"/>
        <w:gridCol w:w="870"/>
        <w:gridCol w:w="870"/>
        <w:gridCol w:w="870"/>
        <w:gridCol w:w="1872"/>
      </w:tblGrid>
      <w:tr w:rsidR="00F6079E" w:rsidRPr="00E87CD5" w:rsidTr="00F6079E">
        <w:trPr>
          <w:cantSplit/>
          <w:trHeight w:val="1124"/>
        </w:trPr>
        <w:tc>
          <w:tcPr>
            <w:tcW w:w="3194" w:type="dxa"/>
            <w:tcBorders>
              <w:top w:val="single" w:sz="4" w:space="0" w:color="auto"/>
              <w:left w:val="single" w:sz="4" w:space="0" w:color="auto"/>
              <w:right w:val="single" w:sz="4" w:space="0" w:color="auto"/>
            </w:tcBorders>
            <w:shd w:val="clear" w:color="auto" w:fill="F3F3F3"/>
          </w:tcPr>
          <w:p w:rsidR="00F6079E" w:rsidRPr="00E87CD5" w:rsidRDefault="00F6079E" w:rsidP="00F6079E">
            <w:pPr>
              <w:rPr>
                <w:b/>
                <w:sz w:val="18"/>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ind w:left="-108"/>
              <w:jc w:val="center"/>
              <w:rPr>
                <w:b/>
                <w:color w:val="000000"/>
                <w:sz w:val="18"/>
              </w:rPr>
            </w:pPr>
            <w:r w:rsidRPr="00E87CD5">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8"/>
              </w:rPr>
            </w:pPr>
            <w:r w:rsidRPr="00E87CD5">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8"/>
              </w:rPr>
            </w:pPr>
            <w:r w:rsidRPr="00E87CD5">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sz w:val="14"/>
                <w:szCs w:val="14"/>
              </w:rPr>
            </w:pPr>
            <w:r w:rsidRPr="00E87CD5">
              <w:rPr>
                <w:b/>
                <w:color w:val="000000"/>
                <w:sz w:val="18"/>
                <w:szCs w:val="18"/>
              </w:rPr>
              <w:t>Non-ill health early retirement allowance included for the 3 years 2011/14</w:t>
            </w:r>
          </w:p>
        </w:tc>
      </w:tr>
      <w:tr w:rsidR="00F6079E" w:rsidRPr="00E87CD5" w:rsidTr="007D4ABB">
        <w:trPr>
          <w:cantSplit/>
          <w:trHeight w:val="861"/>
        </w:trPr>
        <w:tc>
          <w:tcPr>
            <w:tcW w:w="3194" w:type="dxa"/>
            <w:tcBorders>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b/>
                <w:sz w:val="18"/>
              </w:rPr>
            </w:pPr>
            <w:r w:rsidRPr="00E87CD5">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Individual Adjust-ment)</w:t>
            </w:r>
          </w:p>
          <w:p w:rsidR="00F6079E" w:rsidRPr="00E87CD5" w:rsidRDefault="00F6079E" w:rsidP="00F6079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 xml:space="preserve">Total Contribu-tion Rate </w:t>
            </w:r>
          </w:p>
          <w:p w:rsidR="00F6079E" w:rsidRPr="00E87CD5" w:rsidRDefault="00F6079E" w:rsidP="00F6079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Total Contribu-tion Rate</w:t>
            </w:r>
          </w:p>
          <w:p w:rsidR="00F6079E" w:rsidRPr="00E87CD5" w:rsidRDefault="00F6079E" w:rsidP="00F6079E">
            <w:pPr>
              <w:jc w:val="center"/>
              <w:rPr>
                <w:b/>
                <w:sz w:val="14"/>
              </w:rPr>
            </w:pPr>
            <w:r w:rsidRPr="00E87CD5">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Individual Adjust-ment</w:t>
            </w:r>
            <w:r w:rsidRPr="00E87CD5">
              <w:rPr>
                <w:b/>
                <w:sz w:val="14"/>
              </w:rPr>
              <w:b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b/>
                <w:sz w:val="14"/>
              </w:rPr>
            </w:pPr>
            <w:r w:rsidRPr="00E87CD5">
              <w:rPr>
                <w:b/>
                <w:sz w:val="14"/>
              </w:rPr>
              <w:t>Total Contribu-tion Rate</w:t>
            </w:r>
          </w:p>
          <w:p w:rsidR="00F6079E" w:rsidRPr="00E87CD5" w:rsidRDefault="00F6079E" w:rsidP="00F6079E">
            <w:pPr>
              <w:jc w:val="center"/>
              <w:rPr>
                <w:b/>
                <w:sz w:val="14"/>
              </w:rPr>
            </w:pPr>
            <w:r w:rsidRPr="00E87CD5">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jc w:val="center"/>
              <w:rPr>
                <w:sz w:val="14"/>
                <w:szCs w:val="14"/>
              </w:rPr>
            </w:pPr>
            <w:r w:rsidRPr="00E87CD5">
              <w:rPr>
                <w:b/>
                <w:sz w:val="14"/>
                <w:szCs w:val="14"/>
              </w:rPr>
              <w:t>Amount</w:t>
            </w:r>
            <w:r w:rsidRPr="00E87CD5">
              <w:rPr>
                <w:b/>
                <w:sz w:val="14"/>
                <w:szCs w:val="14"/>
              </w:rPr>
              <w:br/>
            </w:r>
            <w:r w:rsidRPr="00E87CD5">
              <w:rPr>
                <w:sz w:val="14"/>
                <w:szCs w:val="14"/>
              </w:rPr>
              <w:t>£</w:t>
            </w: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Solar Facilities (Bishop Raws)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Solar Facilities (Ripley)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Solar Facilities (Seven Stars)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Solar Facilities (St Peters)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9.5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Solar Facilities (Tarelton)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South Ribble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8.8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ind w:right="8"/>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South Ribble Community Leisure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22.9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St Anne's on Sea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Surestart Hyndburn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Twin Valley Homes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University of Central Lancashire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University of Cumbria (was St Martins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14.0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Vita Lend Lease BSF ICT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Vita Lend Lease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13.8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West Lancashire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46029E">
        <w:trPr>
          <w:cantSplit/>
          <w:trHeight w:val="511"/>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West Lancashire Community Leisure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Whitworth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16.1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Wyre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25.1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r w:rsidR="00F6079E" w:rsidRPr="00E87CD5"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rPr>
                <w:rFonts w:cs="Arial"/>
                <w:sz w:val="18"/>
                <w:szCs w:val="18"/>
              </w:rPr>
            </w:pPr>
            <w:r w:rsidRPr="00E87CD5">
              <w:rPr>
                <w:rFonts w:cs="Arial"/>
                <w:sz w:val="18"/>
                <w:szCs w:val="18"/>
              </w:rPr>
              <w:t>Wyre Housing Association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autoSpaceDE w:val="0"/>
              <w:autoSpaceDN w:val="0"/>
              <w:adjustRightInd w:val="0"/>
              <w:jc w:val="center"/>
              <w:rPr>
                <w:rFonts w:cs="Arial"/>
                <w:sz w:val="18"/>
                <w:szCs w:val="18"/>
              </w:rPr>
            </w:pPr>
            <w:r w:rsidRPr="00E87CD5">
              <w:rPr>
                <w:rFonts w:cs="Arial"/>
                <w:sz w:val="18"/>
                <w:szCs w:val="18"/>
              </w:rPr>
              <w:t>70.3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E87CD5" w:rsidRDefault="00F6079E" w:rsidP="00F6079E">
            <w:pPr>
              <w:spacing w:before="60" w:after="60"/>
              <w:jc w:val="center"/>
              <w:rPr>
                <w:sz w:val="18"/>
                <w:szCs w:val="18"/>
              </w:rPr>
            </w:pPr>
          </w:p>
        </w:tc>
      </w:tr>
    </w:tbl>
    <w:p w:rsidR="00FD3A07" w:rsidRPr="00E87CD5" w:rsidRDefault="007D4ABB" w:rsidP="00A67129">
      <w:pPr>
        <w:spacing w:before="240"/>
        <w:rPr>
          <w:sz w:val="16"/>
        </w:rPr>
      </w:pPr>
      <w:r w:rsidRPr="00E87CD5">
        <w:rPr>
          <w:sz w:val="16"/>
        </w:rPr>
        <w:br w:type="page"/>
      </w:r>
      <w:r w:rsidR="00FD3A07" w:rsidRPr="00E87CD5">
        <w:rPr>
          <w:b/>
          <w:color w:val="000000"/>
          <w:sz w:val="18"/>
        </w:rPr>
        <w:lastRenderedPageBreak/>
        <w:t>Other interested bodies with no pensionable employees</w:t>
      </w:r>
    </w:p>
    <w:p w:rsidR="00FD3A07" w:rsidRPr="00E87CD5" w:rsidRDefault="00FD3A07" w:rsidP="00FD3A07">
      <w:pPr>
        <w:rPr>
          <w:color w:val="0000FF"/>
        </w:rPr>
      </w:pP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40"/>
        <w:gridCol w:w="360"/>
        <w:gridCol w:w="3510"/>
        <w:gridCol w:w="1457"/>
      </w:tblGrid>
      <w:tr w:rsidR="00FD3A07" w:rsidRPr="00E87CD5">
        <w:trPr>
          <w:trHeight w:val="1061"/>
        </w:trPr>
        <w:tc>
          <w:tcPr>
            <w:tcW w:w="3528" w:type="dxa"/>
            <w:shd w:val="clear" w:color="auto" w:fill="F3F3F3"/>
            <w:vAlign w:val="center"/>
          </w:tcPr>
          <w:p w:rsidR="00FD3A07" w:rsidRPr="00E87CD5" w:rsidRDefault="00FD3A07" w:rsidP="00D25355">
            <w:pPr>
              <w:rPr>
                <w:b/>
                <w:color w:val="000000"/>
                <w:sz w:val="16"/>
              </w:rPr>
            </w:pPr>
            <w:r w:rsidRPr="00E87CD5">
              <w:rPr>
                <w:b/>
                <w:color w:val="000000"/>
                <w:sz w:val="16"/>
              </w:rPr>
              <w:t>Former Employers</w:t>
            </w:r>
          </w:p>
        </w:tc>
        <w:tc>
          <w:tcPr>
            <w:tcW w:w="1440" w:type="dxa"/>
            <w:shd w:val="clear" w:color="auto" w:fill="F3F3F3"/>
            <w:vAlign w:val="center"/>
          </w:tcPr>
          <w:p w:rsidR="00FD3A07" w:rsidRPr="00E87CD5" w:rsidRDefault="00FD3A07" w:rsidP="00D25355">
            <w:pPr>
              <w:jc w:val="center"/>
              <w:rPr>
                <w:b/>
                <w:color w:val="000000"/>
                <w:sz w:val="16"/>
              </w:rPr>
            </w:pPr>
            <w:r w:rsidRPr="00E87CD5">
              <w:rPr>
                <w:b/>
                <w:color w:val="000000"/>
                <w:sz w:val="16"/>
              </w:rPr>
              <w:t>Proportion of Pension Increases to be Recharged</w:t>
            </w:r>
            <w:r w:rsidRPr="00E87CD5">
              <w:rPr>
                <w:b/>
                <w:color w:val="000000"/>
                <w:sz w:val="16"/>
              </w:rPr>
              <w:br/>
              <w:t>%</w:t>
            </w:r>
          </w:p>
        </w:tc>
        <w:tc>
          <w:tcPr>
            <w:tcW w:w="360" w:type="dxa"/>
            <w:tcBorders>
              <w:top w:val="nil"/>
              <w:bottom w:val="nil"/>
            </w:tcBorders>
          </w:tcPr>
          <w:p w:rsidR="00FD3A07" w:rsidRPr="00E87CD5" w:rsidRDefault="00FD3A07" w:rsidP="00D25355">
            <w:pPr>
              <w:rPr>
                <w:b/>
                <w:color w:val="0000FF"/>
                <w:sz w:val="16"/>
              </w:rPr>
            </w:pPr>
          </w:p>
        </w:tc>
        <w:tc>
          <w:tcPr>
            <w:tcW w:w="3510" w:type="dxa"/>
            <w:shd w:val="clear" w:color="auto" w:fill="F3F3F3"/>
            <w:vAlign w:val="center"/>
          </w:tcPr>
          <w:p w:rsidR="00FD3A07" w:rsidRPr="00E87CD5" w:rsidRDefault="00FD3A07" w:rsidP="00D25355">
            <w:pPr>
              <w:rPr>
                <w:b/>
                <w:color w:val="000000"/>
                <w:sz w:val="16"/>
              </w:rPr>
            </w:pPr>
            <w:r w:rsidRPr="00E87CD5">
              <w:rPr>
                <w:b/>
                <w:color w:val="000000"/>
                <w:sz w:val="16"/>
              </w:rPr>
              <w:t>Former Employers</w:t>
            </w:r>
          </w:p>
        </w:tc>
        <w:tc>
          <w:tcPr>
            <w:tcW w:w="1457" w:type="dxa"/>
            <w:shd w:val="clear" w:color="auto" w:fill="F3F3F3"/>
            <w:vAlign w:val="center"/>
          </w:tcPr>
          <w:p w:rsidR="00FD3A07" w:rsidRPr="00E87CD5" w:rsidRDefault="00FD3A07" w:rsidP="00D25355">
            <w:pPr>
              <w:jc w:val="center"/>
              <w:rPr>
                <w:b/>
                <w:color w:val="000000"/>
                <w:sz w:val="16"/>
              </w:rPr>
            </w:pPr>
            <w:r w:rsidRPr="00E87CD5">
              <w:rPr>
                <w:b/>
                <w:color w:val="000000"/>
                <w:sz w:val="16"/>
              </w:rPr>
              <w:t>Proportion of Pension Increases to be Recharged</w:t>
            </w:r>
            <w:r w:rsidRPr="00E87CD5">
              <w:rPr>
                <w:b/>
                <w:color w:val="000000"/>
                <w:sz w:val="16"/>
              </w:rPr>
              <w:br/>
              <w:t>%</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Alzheimer's Society</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Ex Department of Transport</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100</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Barnoldswick Town Council</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Ex National Health Service</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100</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Blackpool &amp; Fylde Mind Association</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Ex National Water Council</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100</w:t>
            </w:r>
          </w:p>
        </w:tc>
      </w:tr>
      <w:tr w:rsidR="00916CF6" w:rsidRPr="00E87CD5" w:rsidTr="00916CF6">
        <w:trPr>
          <w:trHeight w:hRule="exact" w:val="578"/>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Blackpool &amp; Fylde Society for the Deaf</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100</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Fylde Coast Development Association</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100</w:t>
            </w:r>
          </w:p>
        </w:tc>
      </w:tr>
      <w:tr w:rsidR="00916CF6" w:rsidRPr="00E87CD5" w:rsidTr="00916CF6">
        <w:trPr>
          <w:trHeight w:hRule="exact" w:val="558"/>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 xml:space="preserve">Blackpool Town Centre Forum Ltd  </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Lancashire South East Probation Committee</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100</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Bulloughs (St Albans)</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Lancashire Valuation Tribunal</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See notes</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Burnley &amp; Pendle Development Association</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100</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New Directions</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See notes</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Burton Manor Residential College</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100</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Preston Vision Ltd</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See notes</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Carden Croft Ltd</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Salmesbury &amp; Cuerdale Parish Council</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See notes</w:t>
            </w:r>
          </w:p>
        </w:tc>
      </w:tr>
      <w:tr w:rsidR="00916CF6" w:rsidRPr="00E87CD5" w:rsidTr="00916CF6">
        <w:trPr>
          <w:trHeight w:hRule="exact" w:val="604"/>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Community Alliance (Burnley &amp; Padiham) Ltd</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Skelmersdale College</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See notes</w:t>
            </w:r>
          </w:p>
        </w:tc>
      </w:tr>
      <w:tr w:rsidR="00916CF6" w:rsidRPr="00E87CD5" w:rsidTr="00916CF6">
        <w:trPr>
          <w:trHeight w:hRule="exact" w:val="442"/>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CSB Contract Services</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r w:rsidRPr="00E87CD5">
              <w:rPr>
                <w:rFonts w:cs="Arial"/>
                <w:sz w:val="20"/>
              </w:rPr>
              <w:t>Spastics Society</w:t>
            </w:r>
          </w:p>
        </w:tc>
        <w:tc>
          <w:tcPr>
            <w:tcW w:w="1457" w:type="dxa"/>
            <w:shd w:val="clear" w:color="auto" w:fill="F3F3F3"/>
            <w:vAlign w:val="center"/>
          </w:tcPr>
          <w:p w:rsidR="00916CF6" w:rsidRPr="00E87CD5" w:rsidRDefault="00916CF6" w:rsidP="00916CF6">
            <w:pPr>
              <w:rPr>
                <w:rFonts w:cs="Arial"/>
                <w:sz w:val="20"/>
              </w:rPr>
            </w:pPr>
            <w:r w:rsidRPr="00E87CD5">
              <w:rPr>
                <w:rFonts w:cs="Arial"/>
                <w:sz w:val="20"/>
              </w:rPr>
              <w:t>100</w:t>
            </w:r>
          </w:p>
        </w:tc>
      </w:tr>
      <w:tr w:rsidR="00916CF6" w:rsidRPr="00E87CD5" w:rsidTr="00916CF6">
        <w:trPr>
          <w:trHeight w:val="500"/>
        </w:trPr>
        <w:tc>
          <w:tcPr>
            <w:tcW w:w="3528" w:type="dxa"/>
            <w:shd w:val="clear" w:color="auto" w:fill="F3F3F3"/>
            <w:vAlign w:val="center"/>
          </w:tcPr>
          <w:p w:rsidR="00916CF6" w:rsidRPr="00E87CD5" w:rsidRDefault="00916CF6" w:rsidP="00916CF6">
            <w:pPr>
              <w:rPr>
                <w:rFonts w:cs="Arial"/>
                <w:sz w:val="20"/>
              </w:rPr>
            </w:pPr>
            <w:r w:rsidRPr="00E87CD5">
              <w:rPr>
                <w:rFonts w:cs="Arial"/>
                <w:sz w:val="20"/>
              </w:rPr>
              <w:t>Elm House Management Committee</w:t>
            </w:r>
          </w:p>
        </w:tc>
        <w:tc>
          <w:tcPr>
            <w:tcW w:w="1440" w:type="dxa"/>
            <w:shd w:val="clear" w:color="auto" w:fill="F3F3F3"/>
            <w:vAlign w:val="center"/>
          </w:tcPr>
          <w:p w:rsidR="00916CF6" w:rsidRPr="00E87CD5" w:rsidRDefault="00916CF6" w:rsidP="00916CF6">
            <w:pPr>
              <w:rPr>
                <w:rFonts w:cs="Arial"/>
                <w:sz w:val="20"/>
              </w:rPr>
            </w:pPr>
            <w:r w:rsidRPr="00E87CD5">
              <w:rPr>
                <w:rFonts w:cs="Arial"/>
                <w:sz w:val="20"/>
              </w:rPr>
              <w:t>See notes</w:t>
            </w:r>
          </w:p>
        </w:tc>
        <w:tc>
          <w:tcPr>
            <w:tcW w:w="360" w:type="dxa"/>
            <w:tcBorders>
              <w:top w:val="nil"/>
              <w:bottom w:val="nil"/>
            </w:tcBorders>
            <w:vAlign w:val="center"/>
          </w:tcPr>
          <w:p w:rsidR="00916CF6" w:rsidRPr="00E87CD5" w:rsidRDefault="00916CF6" w:rsidP="00916CF6">
            <w:pPr>
              <w:rPr>
                <w:color w:val="0000FF"/>
                <w:sz w:val="16"/>
              </w:rPr>
            </w:pPr>
          </w:p>
        </w:tc>
        <w:tc>
          <w:tcPr>
            <w:tcW w:w="3510" w:type="dxa"/>
            <w:shd w:val="clear" w:color="auto" w:fill="F3F3F3"/>
            <w:vAlign w:val="center"/>
          </w:tcPr>
          <w:p w:rsidR="00916CF6" w:rsidRPr="00E87CD5" w:rsidRDefault="00916CF6" w:rsidP="00916CF6">
            <w:pPr>
              <w:rPr>
                <w:rFonts w:cs="Arial"/>
                <w:sz w:val="20"/>
              </w:rPr>
            </w:pPr>
          </w:p>
        </w:tc>
        <w:tc>
          <w:tcPr>
            <w:tcW w:w="1457" w:type="dxa"/>
            <w:shd w:val="clear" w:color="auto" w:fill="F3F3F3"/>
            <w:vAlign w:val="center"/>
          </w:tcPr>
          <w:p w:rsidR="00916CF6" w:rsidRPr="00E87CD5" w:rsidRDefault="00916CF6" w:rsidP="00916CF6">
            <w:pPr>
              <w:rPr>
                <w:rFonts w:cs="Arial"/>
                <w:sz w:val="20"/>
              </w:rPr>
            </w:pPr>
          </w:p>
        </w:tc>
      </w:tr>
    </w:tbl>
    <w:p w:rsidR="00FD3A07" w:rsidRPr="00E87CD5" w:rsidRDefault="00FD3A07" w:rsidP="00FD3A07">
      <w:pPr>
        <w:rPr>
          <w:color w:val="0000FF"/>
        </w:rPr>
      </w:pPr>
    </w:p>
    <w:p w:rsidR="0086294C" w:rsidRPr="00E87CD5" w:rsidRDefault="0086294C" w:rsidP="0086294C"/>
    <w:p w:rsidR="00916CF6" w:rsidRPr="00E87CD5" w:rsidRDefault="00916CF6" w:rsidP="00916CF6">
      <w:pPr>
        <w:rPr>
          <w:sz w:val="20"/>
        </w:rPr>
      </w:pPr>
      <w:r w:rsidRPr="00E87CD5">
        <w:rPr>
          <w:sz w:val="20"/>
        </w:rPr>
        <w:t>Note:</w:t>
      </w:r>
    </w:p>
    <w:p w:rsidR="00916CF6" w:rsidRPr="00E87CD5" w:rsidRDefault="00916CF6" w:rsidP="00916CF6">
      <w:pPr>
        <w:rPr>
          <w:sz w:val="20"/>
        </w:rPr>
      </w:pPr>
      <w:r w:rsidRPr="00E87CD5">
        <w:rPr>
          <w:sz w:val="20"/>
        </w:rPr>
        <w:t xml:space="preserve">Members of the Fund employed by Skelmersdale College have transferred to membership of the Tyne and Wear Fund, and so a bulk transfer payment will be required. Any residual funding shortfall in the LCPF after the transfer payment should then be recovered from the College. </w:t>
      </w:r>
    </w:p>
    <w:p w:rsidR="00916CF6" w:rsidRPr="00E87CD5" w:rsidRDefault="00916CF6" w:rsidP="00916CF6">
      <w:pPr>
        <w:rPr>
          <w:sz w:val="20"/>
        </w:rPr>
      </w:pPr>
    </w:p>
    <w:p w:rsidR="00916CF6" w:rsidRPr="00E87CD5" w:rsidRDefault="00916CF6" w:rsidP="00916CF6">
      <w:r w:rsidRPr="00E87CD5">
        <w:rPr>
          <w:sz w:val="20"/>
        </w:rPr>
        <w:t>For the remaining employers listed as "see notes" above further calculations are required in connection with them ceasing to participate in the Fund.  Further details for these employers will be notified in due course.</w:t>
      </w:r>
    </w:p>
    <w:p w:rsidR="0086294C" w:rsidRPr="00E87CD5" w:rsidRDefault="0086294C" w:rsidP="0086294C"/>
    <w:p w:rsidR="0086294C" w:rsidRDefault="0086294C"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Default="00AD522A" w:rsidP="0086294C">
      <w:pPr>
        <w:rPr>
          <w:highlight w:val="yellow"/>
        </w:rPr>
      </w:pPr>
    </w:p>
    <w:p w:rsidR="00AD522A" w:rsidRPr="00CE58F0" w:rsidRDefault="00AD522A" w:rsidP="0086294C">
      <w:pPr>
        <w:rPr>
          <w:highlight w:val="yellow"/>
        </w:rPr>
      </w:pPr>
    </w:p>
    <w:p w:rsidR="0086294C" w:rsidRPr="00CE58F0" w:rsidRDefault="0086294C" w:rsidP="0086294C">
      <w:pPr>
        <w:rPr>
          <w:highlight w:val="yellow"/>
        </w:rPr>
      </w:pPr>
    </w:p>
    <w:p w:rsidR="00BB7961" w:rsidRPr="00CE58F0" w:rsidRDefault="00BB7961">
      <w:pPr>
        <w:rPr>
          <w:b/>
          <w:snapToGrid w:val="0"/>
          <w:sz w:val="28"/>
          <w:highlight w:val="yellow"/>
          <w:lang w:eastAsia="en-US"/>
        </w:rPr>
      </w:pPr>
    </w:p>
    <w:p w:rsidR="00E31FB3" w:rsidRPr="00E87CD5" w:rsidRDefault="00AA045D" w:rsidP="000E6874">
      <w:pPr>
        <w:numPr>
          <w:ilvl w:val="0"/>
          <w:numId w:val="42"/>
        </w:numPr>
      </w:pPr>
      <w:r w:rsidRPr="00E87CD5">
        <w:rPr>
          <w:b/>
          <w:snapToGrid w:val="0"/>
          <w:sz w:val="28"/>
          <w:lang w:eastAsia="en-US"/>
        </w:rPr>
        <w:t>Contacts</w:t>
      </w:r>
    </w:p>
    <w:p w:rsidR="005565E8" w:rsidRPr="00E87CD5" w:rsidRDefault="005565E8" w:rsidP="005565E8">
      <w:pPr>
        <w:rPr>
          <w:b/>
          <w:sz w:val="28"/>
          <w:szCs w:val="28"/>
          <w:lang w:eastAsia="en-US"/>
        </w:rPr>
      </w:pPr>
    </w:p>
    <w:p w:rsidR="0020256C" w:rsidRPr="00E87CD5" w:rsidRDefault="007C3032" w:rsidP="0020256C">
      <w:pPr>
        <w:rPr>
          <w:rFonts w:cs="Arial"/>
          <w:color w:val="FF0000"/>
        </w:rPr>
      </w:pPr>
      <w:hyperlink r:id="rId36" w:history="1">
        <w:r w:rsidR="00E06FC6" w:rsidRPr="00E87CD5">
          <w:rPr>
            <w:rStyle w:val="Hyperlink"/>
            <w:b/>
          </w:rPr>
          <w:t>http://www.yourpensionservice.org.uk</w:t>
        </w:r>
      </w:hyperlink>
    </w:p>
    <w:p w:rsidR="005565E8" w:rsidRPr="00E87CD5" w:rsidRDefault="005565E8" w:rsidP="005565E8">
      <w:pPr>
        <w:autoSpaceDE w:val="0"/>
        <w:autoSpaceDN w:val="0"/>
        <w:adjustRightInd w:val="0"/>
        <w:rPr>
          <w:rFonts w:cs="Arial"/>
          <w:bCs/>
          <w:color w:val="000000"/>
        </w:rPr>
      </w:pPr>
    </w:p>
    <w:p w:rsidR="005565E8" w:rsidRPr="00E87CD5" w:rsidRDefault="005565E8" w:rsidP="005565E8">
      <w:pPr>
        <w:autoSpaceDE w:val="0"/>
        <w:autoSpaceDN w:val="0"/>
        <w:adjustRightInd w:val="0"/>
        <w:rPr>
          <w:rFonts w:cs="Arial"/>
          <w:bCs/>
          <w:color w:val="000000"/>
        </w:rPr>
      </w:pPr>
    </w:p>
    <w:p w:rsidR="005565E8" w:rsidRPr="00CE58F0" w:rsidRDefault="005565E8" w:rsidP="005565E8">
      <w:pPr>
        <w:autoSpaceDE w:val="0"/>
        <w:autoSpaceDN w:val="0"/>
        <w:adjustRightInd w:val="0"/>
        <w:rPr>
          <w:rFonts w:cs="Arial"/>
          <w:b/>
          <w:bCs/>
          <w:color w:val="000000"/>
          <w:highlight w:val="yellow"/>
        </w:rPr>
      </w:pPr>
      <w:r w:rsidRPr="00E87CD5">
        <w:rPr>
          <w:rFonts w:cs="Arial"/>
          <w:b/>
          <w:bCs/>
          <w:color w:val="000000"/>
        </w:rPr>
        <w:t>Benefits and other Administrative Issues</w:t>
      </w:r>
    </w:p>
    <w:p w:rsidR="005565E8" w:rsidRPr="00CE58F0" w:rsidRDefault="005565E8" w:rsidP="005565E8">
      <w:pPr>
        <w:autoSpaceDE w:val="0"/>
        <w:autoSpaceDN w:val="0"/>
        <w:adjustRightInd w:val="0"/>
        <w:rPr>
          <w:rFonts w:cs="Arial"/>
          <w:bCs/>
          <w:color w:val="000000"/>
          <w:highlight w:val="yellow"/>
        </w:rPr>
      </w:pPr>
    </w:p>
    <w:p w:rsidR="005565E8" w:rsidRPr="00E87CD5" w:rsidRDefault="005565E8" w:rsidP="005565E8">
      <w:pPr>
        <w:autoSpaceDE w:val="0"/>
        <w:autoSpaceDN w:val="0"/>
        <w:adjustRightInd w:val="0"/>
        <w:rPr>
          <w:rFonts w:cs="Arial"/>
          <w:bCs/>
          <w:color w:val="000000"/>
        </w:rPr>
      </w:pPr>
      <w:r w:rsidRPr="00E87CD5">
        <w:rPr>
          <w:rFonts w:cs="Arial"/>
          <w:bCs/>
          <w:color w:val="000000"/>
        </w:rPr>
        <w:t>Pensions Helpdesk</w:t>
      </w:r>
    </w:p>
    <w:p w:rsidR="005565E8" w:rsidRPr="00E87CD5" w:rsidRDefault="004C5138" w:rsidP="005565E8">
      <w:pPr>
        <w:autoSpaceDE w:val="0"/>
        <w:autoSpaceDN w:val="0"/>
        <w:adjustRightInd w:val="0"/>
        <w:rPr>
          <w:rFonts w:cs="Arial"/>
          <w:bCs/>
          <w:color w:val="000000"/>
        </w:rPr>
      </w:pPr>
      <w:r w:rsidRPr="00E87CD5">
        <w:rPr>
          <w:rFonts w:cs="Arial"/>
          <w:bCs/>
          <w:color w:val="000000"/>
        </w:rPr>
        <w:t>Your</w:t>
      </w:r>
      <w:r w:rsidR="005565E8" w:rsidRPr="00E87CD5">
        <w:rPr>
          <w:rFonts w:cs="Arial"/>
          <w:bCs/>
          <w:color w:val="000000"/>
        </w:rPr>
        <w:t xml:space="preserve"> Pension Service</w:t>
      </w:r>
    </w:p>
    <w:p w:rsidR="005565E8" w:rsidRPr="00E87CD5" w:rsidRDefault="005565E8" w:rsidP="005565E8">
      <w:pPr>
        <w:autoSpaceDE w:val="0"/>
        <w:autoSpaceDN w:val="0"/>
        <w:adjustRightInd w:val="0"/>
        <w:rPr>
          <w:rFonts w:cs="Arial"/>
          <w:bCs/>
          <w:color w:val="000000"/>
        </w:rPr>
      </w:pPr>
      <w:r w:rsidRPr="00E87CD5">
        <w:rPr>
          <w:rFonts w:cs="Arial"/>
          <w:bCs/>
          <w:color w:val="000000"/>
        </w:rPr>
        <w:t>PO Box 100</w:t>
      </w:r>
    </w:p>
    <w:p w:rsidR="005565E8" w:rsidRPr="00E87CD5" w:rsidRDefault="005565E8" w:rsidP="005565E8">
      <w:pPr>
        <w:autoSpaceDE w:val="0"/>
        <w:autoSpaceDN w:val="0"/>
        <w:adjustRightInd w:val="0"/>
        <w:rPr>
          <w:rFonts w:cs="Arial"/>
          <w:bCs/>
          <w:color w:val="000000"/>
        </w:rPr>
      </w:pPr>
      <w:r w:rsidRPr="00E87CD5">
        <w:rPr>
          <w:rFonts w:cs="Arial"/>
          <w:bCs/>
          <w:color w:val="000000"/>
        </w:rPr>
        <w:t>County Hall</w:t>
      </w:r>
    </w:p>
    <w:p w:rsidR="005565E8" w:rsidRPr="00E87CD5" w:rsidRDefault="005565E8" w:rsidP="005565E8">
      <w:pPr>
        <w:autoSpaceDE w:val="0"/>
        <w:autoSpaceDN w:val="0"/>
        <w:adjustRightInd w:val="0"/>
        <w:rPr>
          <w:rFonts w:cs="Arial"/>
          <w:bCs/>
          <w:color w:val="000000"/>
        </w:rPr>
      </w:pPr>
      <w:r w:rsidRPr="00E87CD5">
        <w:rPr>
          <w:rFonts w:cs="Arial"/>
          <w:bCs/>
          <w:color w:val="000000"/>
        </w:rPr>
        <w:t>Preston</w:t>
      </w:r>
    </w:p>
    <w:p w:rsidR="005565E8" w:rsidRPr="00E87CD5" w:rsidRDefault="005565E8" w:rsidP="005565E8">
      <w:pPr>
        <w:autoSpaceDE w:val="0"/>
        <w:autoSpaceDN w:val="0"/>
        <w:adjustRightInd w:val="0"/>
        <w:rPr>
          <w:rFonts w:cs="Arial"/>
          <w:bCs/>
          <w:color w:val="000000"/>
        </w:rPr>
      </w:pPr>
      <w:r w:rsidRPr="00E87CD5">
        <w:rPr>
          <w:rFonts w:cs="Arial"/>
          <w:bCs/>
          <w:color w:val="000000"/>
        </w:rPr>
        <w:t>PR1 0LD</w:t>
      </w:r>
    </w:p>
    <w:p w:rsidR="005565E8" w:rsidRPr="00E87CD5" w:rsidRDefault="005565E8" w:rsidP="005565E8">
      <w:pPr>
        <w:autoSpaceDE w:val="0"/>
        <w:autoSpaceDN w:val="0"/>
        <w:adjustRightInd w:val="0"/>
        <w:rPr>
          <w:rFonts w:cs="Arial"/>
          <w:bCs/>
          <w:color w:val="000000"/>
        </w:rPr>
      </w:pPr>
      <w:r w:rsidRPr="00E87CD5">
        <w:rPr>
          <w:rFonts w:cs="Arial"/>
          <w:bCs/>
          <w:color w:val="000000"/>
        </w:rPr>
        <w:t>Telephone:</w:t>
      </w:r>
      <w:r w:rsidRPr="00E87CD5">
        <w:rPr>
          <w:rFonts w:cs="Arial"/>
          <w:bCs/>
          <w:color w:val="000000"/>
        </w:rPr>
        <w:tab/>
        <w:t>01772 530530</w:t>
      </w:r>
    </w:p>
    <w:p w:rsidR="005565E8" w:rsidRPr="00E87CD5" w:rsidRDefault="005565E8" w:rsidP="00E87CD5">
      <w:pPr>
        <w:autoSpaceDE w:val="0"/>
        <w:autoSpaceDN w:val="0"/>
        <w:adjustRightInd w:val="0"/>
        <w:rPr>
          <w:b/>
          <w:sz w:val="28"/>
          <w:szCs w:val="28"/>
          <w:lang w:eastAsia="en-US"/>
        </w:rPr>
      </w:pPr>
      <w:r w:rsidRPr="00E87CD5">
        <w:rPr>
          <w:rFonts w:cs="Arial"/>
          <w:bCs/>
          <w:color w:val="000000"/>
        </w:rPr>
        <w:t xml:space="preserve">E-mail: </w:t>
      </w:r>
      <w:r w:rsidRPr="00E87CD5">
        <w:rPr>
          <w:rFonts w:cs="Arial"/>
          <w:bCs/>
          <w:color w:val="000000"/>
        </w:rPr>
        <w:tab/>
      </w:r>
      <w:r w:rsidR="00E87CD5" w:rsidRPr="00E87CD5">
        <w:rPr>
          <w:rFonts w:cs="Arial"/>
          <w:bCs/>
          <w:color w:val="000000"/>
        </w:rPr>
        <w:t>AskPensions@lancashire.gov.uk</w:t>
      </w:r>
    </w:p>
    <w:p w:rsidR="00BC2BF0" w:rsidRPr="00CE58F0" w:rsidRDefault="00BC2BF0" w:rsidP="005565E8">
      <w:pPr>
        <w:rPr>
          <w:b/>
          <w:sz w:val="28"/>
          <w:szCs w:val="28"/>
          <w:highlight w:val="yellow"/>
          <w:lang w:eastAsia="en-US"/>
        </w:rPr>
      </w:pPr>
    </w:p>
    <w:p w:rsidR="005565E8" w:rsidRPr="00262CE2" w:rsidRDefault="005565E8" w:rsidP="005565E8">
      <w:pPr>
        <w:autoSpaceDE w:val="0"/>
        <w:autoSpaceDN w:val="0"/>
        <w:adjustRightInd w:val="0"/>
        <w:rPr>
          <w:rFonts w:cs="Arial"/>
          <w:b/>
          <w:bCs/>
          <w:color w:val="000000"/>
        </w:rPr>
      </w:pPr>
      <w:r w:rsidRPr="00262CE2">
        <w:rPr>
          <w:rFonts w:cs="Arial"/>
          <w:b/>
          <w:bCs/>
          <w:color w:val="000000"/>
        </w:rPr>
        <w:t>Pension Benefits and Administration</w:t>
      </w:r>
    </w:p>
    <w:p w:rsidR="005565E8" w:rsidRPr="00262CE2" w:rsidRDefault="005565E8" w:rsidP="005565E8">
      <w:pPr>
        <w:rPr>
          <w:b/>
          <w:sz w:val="28"/>
          <w:szCs w:val="28"/>
          <w:lang w:eastAsia="en-US"/>
        </w:rPr>
      </w:pPr>
    </w:p>
    <w:p w:rsidR="005565E8" w:rsidRPr="00262CE2" w:rsidRDefault="005565E8" w:rsidP="005565E8">
      <w:pPr>
        <w:rPr>
          <w:rFonts w:cs="Arial"/>
          <w:bCs/>
          <w:color w:val="000000"/>
        </w:rPr>
      </w:pPr>
      <w:r w:rsidRPr="00262CE2">
        <w:rPr>
          <w:rFonts w:cs="Arial"/>
          <w:bCs/>
          <w:color w:val="000000"/>
        </w:rPr>
        <w:t>Diane Lister</w:t>
      </w:r>
    </w:p>
    <w:p w:rsidR="005565E8" w:rsidRPr="00262CE2" w:rsidRDefault="006343DA" w:rsidP="005565E8">
      <w:pPr>
        <w:rPr>
          <w:rFonts w:cs="Arial"/>
          <w:bCs/>
          <w:color w:val="000000"/>
        </w:rPr>
      </w:pPr>
      <w:r w:rsidRPr="00262CE2">
        <w:rPr>
          <w:rFonts w:cs="Arial"/>
          <w:bCs/>
          <w:color w:val="000000"/>
        </w:rPr>
        <w:t xml:space="preserve">Head of Your </w:t>
      </w:r>
      <w:r w:rsidR="005565E8" w:rsidRPr="00262CE2">
        <w:rPr>
          <w:rFonts w:cs="Arial"/>
          <w:bCs/>
          <w:color w:val="000000"/>
        </w:rPr>
        <w:t>Pension Service</w:t>
      </w:r>
    </w:p>
    <w:p w:rsidR="00BC2BF0" w:rsidRPr="00262CE2" w:rsidRDefault="00BC2BF0" w:rsidP="00BC2BF0">
      <w:pPr>
        <w:autoSpaceDE w:val="0"/>
        <w:autoSpaceDN w:val="0"/>
        <w:adjustRightInd w:val="0"/>
        <w:rPr>
          <w:rFonts w:cs="Arial"/>
          <w:bCs/>
          <w:color w:val="000000"/>
        </w:rPr>
      </w:pPr>
      <w:r w:rsidRPr="00262CE2">
        <w:rPr>
          <w:rFonts w:cs="Arial"/>
          <w:bCs/>
          <w:color w:val="000000"/>
        </w:rPr>
        <w:t>Telephone:</w:t>
      </w:r>
      <w:r w:rsidRPr="00262CE2">
        <w:rPr>
          <w:rFonts w:cs="Arial"/>
          <w:bCs/>
          <w:color w:val="000000"/>
        </w:rPr>
        <w:tab/>
        <w:t>01772 534827</w:t>
      </w:r>
    </w:p>
    <w:p w:rsidR="005565E8" w:rsidRDefault="00BC2BF0" w:rsidP="00E87CD5">
      <w:pPr>
        <w:autoSpaceDE w:val="0"/>
        <w:autoSpaceDN w:val="0"/>
        <w:adjustRightInd w:val="0"/>
        <w:rPr>
          <w:rFonts w:cs="Arial"/>
          <w:bCs/>
          <w:color w:val="000000"/>
          <w:highlight w:val="yellow"/>
        </w:rPr>
      </w:pPr>
      <w:r w:rsidRPr="00262CE2">
        <w:rPr>
          <w:rFonts w:cs="Arial"/>
          <w:bCs/>
          <w:color w:val="000000"/>
        </w:rPr>
        <w:t xml:space="preserve">E-mail: </w:t>
      </w:r>
      <w:r w:rsidRPr="00262CE2">
        <w:rPr>
          <w:rFonts w:cs="Arial"/>
          <w:bCs/>
          <w:color w:val="000000"/>
        </w:rPr>
        <w:tab/>
      </w:r>
      <w:r w:rsidR="00262CE2" w:rsidRPr="00262CE2">
        <w:rPr>
          <w:rFonts w:cs="Arial"/>
          <w:bCs/>
          <w:color w:val="000000"/>
        </w:rPr>
        <w:t>AskPensions</w:t>
      </w:r>
      <w:r w:rsidR="00262CE2" w:rsidRPr="00E87CD5">
        <w:rPr>
          <w:rFonts w:cs="Arial"/>
          <w:bCs/>
          <w:color w:val="000000"/>
        </w:rPr>
        <w:t>@lancashire.gov.uk</w:t>
      </w:r>
    </w:p>
    <w:p w:rsidR="00E87CD5" w:rsidRPr="00CE58F0" w:rsidRDefault="00E87CD5" w:rsidP="00E87CD5">
      <w:pPr>
        <w:autoSpaceDE w:val="0"/>
        <w:autoSpaceDN w:val="0"/>
        <w:adjustRightInd w:val="0"/>
        <w:rPr>
          <w:b/>
          <w:sz w:val="28"/>
          <w:szCs w:val="28"/>
          <w:highlight w:val="yellow"/>
          <w:lang w:eastAsia="en-US"/>
        </w:rPr>
      </w:pPr>
    </w:p>
    <w:p w:rsidR="00BC2BF0" w:rsidRPr="00CE58F0" w:rsidRDefault="00BC2BF0" w:rsidP="005565E8">
      <w:pPr>
        <w:rPr>
          <w:b/>
          <w:sz w:val="28"/>
          <w:szCs w:val="28"/>
          <w:highlight w:val="yellow"/>
          <w:lang w:eastAsia="en-US"/>
        </w:rPr>
      </w:pPr>
    </w:p>
    <w:p w:rsidR="00BC2BF0" w:rsidRPr="00E87CD5" w:rsidRDefault="00BC2BF0" w:rsidP="00BC2BF0">
      <w:pPr>
        <w:autoSpaceDE w:val="0"/>
        <w:autoSpaceDN w:val="0"/>
        <w:adjustRightInd w:val="0"/>
        <w:rPr>
          <w:rFonts w:cs="Arial"/>
          <w:b/>
          <w:bCs/>
          <w:color w:val="000000"/>
        </w:rPr>
      </w:pPr>
      <w:r w:rsidRPr="00E87CD5">
        <w:rPr>
          <w:rFonts w:cs="Arial"/>
          <w:b/>
          <w:bCs/>
          <w:color w:val="000000"/>
        </w:rPr>
        <w:t xml:space="preserve">Pension Fund </w:t>
      </w:r>
      <w:r w:rsidR="00A11FA4" w:rsidRPr="00E87CD5">
        <w:rPr>
          <w:rFonts w:cs="Arial"/>
          <w:b/>
          <w:bCs/>
          <w:color w:val="000000"/>
        </w:rPr>
        <w:t>Accounts</w:t>
      </w:r>
    </w:p>
    <w:p w:rsidR="00A11FA4" w:rsidRPr="00E87CD5" w:rsidRDefault="00A11FA4" w:rsidP="00BC2BF0">
      <w:pPr>
        <w:autoSpaceDE w:val="0"/>
        <w:autoSpaceDN w:val="0"/>
        <w:adjustRightInd w:val="0"/>
        <w:rPr>
          <w:rFonts w:cs="Arial"/>
          <w:b/>
          <w:bCs/>
          <w:color w:val="000000"/>
        </w:rPr>
      </w:pPr>
    </w:p>
    <w:p w:rsidR="00BC2BF0" w:rsidRPr="00E87CD5" w:rsidRDefault="00AA045D" w:rsidP="00BC2BF0">
      <w:pPr>
        <w:rPr>
          <w:rFonts w:cs="Arial"/>
          <w:bCs/>
          <w:color w:val="000000"/>
        </w:rPr>
      </w:pPr>
      <w:r w:rsidRPr="00E87CD5">
        <w:rPr>
          <w:rFonts w:cs="Arial"/>
          <w:bCs/>
          <w:color w:val="000000"/>
        </w:rPr>
        <w:t>Abigail Leech</w:t>
      </w:r>
    </w:p>
    <w:p w:rsidR="00A11FA4" w:rsidRPr="00E87CD5" w:rsidRDefault="00A11FA4" w:rsidP="00BC2BF0">
      <w:pPr>
        <w:rPr>
          <w:rFonts w:cs="Arial"/>
          <w:bCs/>
          <w:color w:val="000000"/>
        </w:rPr>
      </w:pPr>
      <w:r w:rsidRPr="00E87CD5">
        <w:rPr>
          <w:rFonts w:cs="Arial"/>
          <w:bCs/>
          <w:color w:val="000000"/>
        </w:rPr>
        <w:t>Head of Financial Accounting &amp; Taxation</w:t>
      </w:r>
    </w:p>
    <w:p w:rsidR="00BC2BF0" w:rsidRPr="00E87CD5" w:rsidRDefault="00BC2BF0" w:rsidP="00BC2BF0">
      <w:pPr>
        <w:autoSpaceDE w:val="0"/>
        <w:autoSpaceDN w:val="0"/>
        <w:adjustRightInd w:val="0"/>
        <w:rPr>
          <w:rFonts w:cs="Arial"/>
          <w:bCs/>
          <w:color w:val="000000"/>
        </w:rPr>
      </w:pPr>
      <w:r w:rsidRPr="00E87CD5">
        <w:rPr>
          <w:rFonts w:cs="Arial"/>
          <w:bCs/>
          <w:color w:val="000000"/>
        </w:rPr>
        <w:t>Telephone:</w:t>
      </w:r>
      <w:r w:rsidRPr="00E87CD5">
        <w:rPr>
          <w:rFonts w:cs="Arial"/>
          <w:bCs/>
          <w:color w:val="000000"/>
        </w:rPr>
        <w:tab/>
        <w:t xml:space="preserve">01772 </w:t>
      </w:r>
      <w:r w:rsidR="00A11FA4" w:rsidRPr="00E87CD5">
        <w:rPr>
          <w:rFonts w:cs="Arial"/>
          <w:bCs/>
          <w:color w:val="000000"/>
        </w:rPr>
        <w:t>530808</w:t>
      </w:r>
    </w:p>
    <w:p w:rsidR="00BC2BF0" w:rsidRPr="00E87CD5" w:rsidRDefault="00BC2BF0" w:rsidP="00BC2BF0">
      <w:pPr>
        <w:autoSpaceDE w:val="0"/>
        <w:autoSpaceDN w:val="0"/>
        <w:adjustRightInd w:val="0"/>
        <w:rPr>
          <w:rFonts w:cs="Arial"/>
          <w:bCs/>
          <w:color w:val="000000"/>
        </w:rPr>
      </w:pPr>
      <w:r w:rsidRPr="00E87CD5">
        <w:rPr>
          <w:rFonts w:cs="Arial"/>
          <w:bCs/>
          <w:color w:val="000000"/>
        </w:rPr>
        <w:t xml:space="preserve">E-mail: </w:t>
      </w:r>
      <w:r w:rsidRPr="00E87CD5">
        <w:rPr>
          <w:rFonts w:cs="Arial"/>
          <w:bCs/>
          <w:color w:val="000000"/>
        </w:rPr>
        <w:tab/>
      </w:r>
      <w:hyperlink r:id="rId37" w:history="1">
        <w:r w:rsidR="00E87CD5" w:rsidRPr="006667D8">
          <w:rPr>
            <w:rStyle w:val="Hyperlink"/>
            <w:rFonts w:cs="Arial"/>
            <w:bCs/>
          </w:rPr>
          <w:t>abigail.leech@lancashire.gov.uk</w:t>
        </w:r>
      </w:hyperlink>
    </w:p>
    <w:p w:rsidR="00BC2BF0" w:rsidRPr="00E87CD5" w:rsidRDefault="00BC2BF0" w:rsidP="00BC2BF0">
      <w:pPr>
        <w:rPr>
          <w:b/>
          <w:sz w:val="28"/>
          <w:szCs w:val="28"/>
          <w:lang w:eastAsia="en-US"/>
        </w:rPr>
      </w:pPr>
    </w:p>
    <w:p w:rsidR="00BC2BF0" w:rsidRPr="00E87CD5" w:rsidRDefault="00BC2BF0" w:rsidP="00BC2BF0">
      <w:pPr>
        <w:rPr>
          <w:b/>
          <w:sz w:val="28"/>
          <w:szCs w:val="28"/>
          <w:lang w:eastAsia="en-US"/>
        </w:rPr>
      </w:pPr>
    </w:p>
    <w:p w:rsidR="00BC2BF0" w:rsidRPr="00E87CD5" w:rsidRDefault="00BC2BF0" w:rsidP="00BC2BF0">
      <w:pPr>
        <w:autoSpaceDE w:val="0"/>
        <w:autoSpaceDN w:val="0"/>
        <w:adjustRightInd w:val="0"/>
        <w:rPr>
          <w:rFonts w:cs="Arial"/>
          <w:b/>
          <w:bCs/>
          <w:color w:val="000000"/>
        </w:rPr>
      </w:pPr>
      <w:r w:rsidRPr="00E87CD5">
        <w:rPr>
          <w:rFonts w:cs="Arial"/>
          <w:b/>
          <w:bCs/>
          <w:color w:val="000000"/>
        </w:rPr>
        <w:t>Pension Fund Investments</w:t>
      </w:r>
      <w:r w:rsidR="00880512" w:rsidRPr="00E87CD5">
        <w:rPr>
          <w:rFonts w:cs="Arial"/>
          <w:b/>
          <w:bCs/>
          <w:color w:val="000000"/>
        </w:rPr>
        <w:t xml:space="preserve"> </w:t>
      </w:r>
    </w:p>
    <w:p w:rsidR="00BC2BF0" w:rsidRPr="00E87CD5" w:rsidRDefault="00BC2BF0" w:rsidP="00BC2BF0">
      <w:pPr>
        <w:rPr>
          <w:b/>
          <w:sz w:val="28"/>
          <w:szCs w:val="28"/>
          <w:lang w:eastAsia="en-US"/>
        </w:rPr>
      </w:pPr>
    </w:p>
    <w:p w:rsidR="00BC2BF0" w:rsidRPr="00E87CD5" w:rsidRDefault="00BC2BF0" w:rsidP="00BC2BF0">
      <w:pPr>
        <w:rPr>
          <w:rFonts w:cs="Arial"/>
          <w:bCs/>
          <w:color w:val="000000"/>
        </w:rPr>
      </w:pPr>
      <w:r w:rsidRPr="00E87CD5">
        <w:rPr>
          <w:rFonts w:cs="Arial"/>
          <w:bCs/>
          <w:color w:val="000000"/>
        </w:rPr>
        <w:t>Mike Jensen</w:t>
      </w:r>
    </w:p>
    <w:p w:rsidR="00BC2BF0" w:rsidRPr="00E87CD5" w:rsidRDefault="00FC2CFF" w:rsidP="00BC2BF0">
      <w:pPr>
        <w:rPr>
          <w:rFonts w:cs="Arial"/>
          <w:bCs/>
          <w:color w:val="000000"/>
        </w:rPr>
      </w:pPr>
      <w:r w:rsidRPr="00E87CD5">
        <w:rPr>
          <w:rFonts w:cs="Arial"/>
          <w:bCs/>
          <w:color w:val="000000"/>
        </w:rPr>
        <w:t>Chief Investment Officer</w:t>
      </w:r>
    </w:p>
    <w:p w:rsidR="00BC2BF0" w:rsidRPr="00E87CD5" w:rsidRDefault="00BC2BF0" w:rsidP="00BC2BF0">
      <w:pPr>
        <w:autoSpaceDE w:val="0"/>
        <w:autoSpaceDN w:val="0"/>
        <w:adjustRightInd w:val="0"/>
        <w:rPr>
          <w:rFonts w:cs="Arial"/>
          <w:bCs/>
          <w:color w:val="000000"/>
        </w:rPr>
      </w:pPr>
      <w:r w:rsidRPr="00E87CD5">
        <w:rPr>
          <w:rFonts w:cs="Arial"/>
          <w:bCs/>
          <w:color w:val="000000"/>
        </w:rPr>
        <w:t>Telephone:</w:t>
      </w:r>
      <w:r w:rsidRPr="00E87CD5">
        <w:rPr>
          <w:rFonts w:cs="Arial"/>
          <w:bCs/>
          <w:color w:val="000000"/>
        </w:rPr>
        <w:tab/>
        <w:t>01772 534742</w:t>
      </w:r>
    </w:p>
    <w:p w:rsidR="00BC2BF0" w:rsidRPr="00E87CD5" w:rsidRDefault="00BC2BF0" w:rsidP="00BC2BF0">
      <w:pPr>
        <w:autoSpaceDE w:val="0"/>
        <w:autoSpaceDN w:val="0"/>
        <w:adjustRightInd w:val="0"/>
        <w:rPr>
          <w:rFonts w:cs="Arial"/>
          <w:bCs/>
          <w:color w:val="000000"/>
        </w:rPr>
      </w:pPr>
      <w:r w:rsidRPr="00E87CD5">
        <w:rPr>
          <w:rFonts w:cs="Arial"/>
          <w:bCs/>
          <w:color w:val="000000"/>
        </w:rPr>
        <w:t xml:space="preserve">E-mail: </w:t>
      </w:r>
      <w:r w:rsidRPr="00E87CD5">
        <w:rPr>
          <w:rFonts w:cs="Arial"/>
          <w:bCs/>
          <w:color w:val="000000"/>
        </w:rPr>
        <w:tab/>
      </w:r>
      <w:hyperlink r:id="rId38" w:history="1">
        <w:r w:rsidR="00A11FA4" w:rsidRPr="00E87CD5">
          <w:rPr>
            <w:rStyle w:val="Hyperlink"/>
            <w:rFonts w:cs="Arial"/>
            <w:bCs/>
          </w:rPr>
          <w:t>mike.jensen@lancashire.gov.uk</w:t>
        </w:r>
      </w:hyperlink>
    </w:p>
    <w:p w:rsidR="00A11FA4" w:rsidRPr="00E87CD5" w:rsidRDefault="00A11FA4" w:rsidP="00BC2BF0">
      <w:pPr>
        <w:autoSpaceDE w:val="0"/>
        <w:autoSpaceDN w:val="0"/>
        <w:adjustRightInd w:val="0"/>
        <w:rPr>
          <w:rFonts w:cs="Arial"/>
          <w:bCs/>
          <w:color w:val="000000"/>
        </w:rPr>
      </w:pPr>
    </w:p>
    <w:p w:rsidR="00A11FA4" w:rsidRPr="00CE58F0" w:rsidRDefault="00A11FA4" w:rsidP="00BC2BF0">
      <w:pPr>
        <w:autoSpaceDE w:val="0"/>
        <w:autoSpaceDN w:val="0"/>
        <w:adjustRightInd w:val="0"/>
        <w:rPr>
          <w:rFonts w:cs="Arial"/>
          <w:b/>
          <w:bCs/>
          <w:color w:val="000000"/>
          <w:highlight w:val="yellow"/>
        </w:rPr>
      </w:pPr>
    </w:p>
    <w:p w:rsidR="00A11FA4" w:rsidRPr="00E87CD5" w:rsidRDefault="00726C56" w:rsidP="00BC2BF0">
      <w:pPr>
        <w:autoSpaceDE w:val="0"/>
        <w:autoSpaceDN w:val="0"/>
        <w:adjustRightInd w:val="0"/>
        <w:rPr>
          <w:rFonts w:cs="Arial"/>
          <w:b/>
          <w:bCs/>
          <w:color w:val="000000"/>
        </w:rPr>
      </w:pPr>
      <w:r w:rsidRPr="00E87CD5">
        <w:rPr>
          <w:rFonts w:cs="Arial"/>
          <w:b/>
          <w:bCs/>
          <w:color w:val="000000"/>
        </w:rPr>
        <w:t>Pension Fund Governance</w:t>
      </w:r>
    </w:p>
    <w:p w:rsidR="00A11FA4" w:rsidRPr="00E87CD5" w:rsidRDefault="00A11FA4" w:rsidP="00BC2BF0">
      <w:pPr>
        <w:autoSpaceDE w:val="0"/>
        <w:autoSpaceDN w:val="0"/>
        <w:adjustRightInd w:val="0"/>
        <w:rPr>
          <w:rFonts w:cs="Arial"/>
          <w:b/>
          <w:bCs/>
          <w:color w:val="000000"/>
        </w:rPr>
      </w:pPr>
    </w:p>
    <w:p w:rsidR="00A11FA4" w:rsidRPr="00E87CD5" w:rsidRDefault="00A11FA4" w:rsidP="00A11FA4">
      <w:pPr>
        <w:rPr>
          <w:rFonts w:cs="Arial"/>
          <w:bCs/>
          <w:color w:val="000000"/>
        </w:rPr>
      </w:pPr>
      <w:r w:rsidRPr="00E87CD5">
        <w:rPr>
          <w:rFonts w:cs="Arial"/>
          <w:bCs/>
          <w:color w:val="000000"/>
        </w:rPr>
        <w:t>Andrew Fox</w:t>
      </w:r>
    </w:p>
    <w:p w:rsidR="00A11FA4" w:rsidRPr="00E87CD5" w:rsidRDefault="00A11FA4" w:rsidP="00A11FA4">
      <w:pPr>
        <w:autoSpaceDE w:val="0"/>
        <w:autoSpaceDN w:val="0"/>
        <w:adjustRightInd w:val="0"/>
        <w:rPr>
          <w:rFonts w:cs="Arial"/>
          <w:bCs/>
          <w:color w:val="000000"/>
        </w:rPr>
      </w:pPr>
      <w:r w:rsidRPr="00E87CD5">
        <w:rPr>
          <w:rFonts w:cs="Arial"/>
          <w:bCs/>
          <w:color w:val="000000"/>
        </w:rPr>
        <w:t>Head of Investment Compliance</w:t>
      </w:r>
    </w:p>
    <w:p w:rsidR="00A11FA4" w:rsidRPr="00E87CD5" w:rsidRDefault="00A11FA4" w:rsidP="00A11FA4">
      <w:pPr>
        <w:autoSpaceDE w:val="0"/>
        <w:autoSpaceDN w:val="0"/>
        <w:adjustRightInd w:val="0"/>
        <w:rPr>
          <w:rFonts w:cs="Arial"/>
          <w:bCs/>
          <w:color w:val="000000"/>
        </w:rPr>
      </w:pPr>
      <w:r w:rsidRPr="00E87CD5">
        <w:rPr>
          <w:rFonts w:cs="Arial"/>
          <w:bCs/>
          <w:color w:val="000000"/>
        </w:rPr>
        <w:t>Telephone:</w:t>
      </w:r>
      <w:r w:rsidRPr="00E87CD5">
        <w:rPr>
          <w:rFonts w:cs="Arial"/>
          <w:bCs/>
          <w:color w:val="000000"/>
        </w:rPr>
        <w:tab/>
        <w:t>01772 53535916</w:t>
      </w:r>
    </w:p>
    <w:p w:rsidR="00E31FB3" w:rsidRDefault="00A11FA4">
      <w:pPr>
        <w:autoSpaceDE w:val="0"/>
        <w:autoSpaceDN w:val="0"/>
        <w:adjustRightInd w:val="0"/>
        <w:rPr>
          <w:b/>
          <w:sz w:val="28"/>
          <w:szCs w:val="28"/>
          <w:lang w:eastAsia="en-US"/>
        </w:rPr>
      </w:pPr>
      <w:r w:rsidRPr="00E87CD5">
        <w:rPr>
          <w:rFonts w:cs="Arial"/>
          <w:bCs/>
          <w:color w:val="000000"/>
        </w:rPr>
        <w:t xml:space="preserve">E-mail: </w:t>
      </w:r>
      <w:r w:rsidRPr="00E87CD5">
        <w:rPr>
          <w:rFonts w:cs="Arial"/>
          <w:bCs/>
          <w:color w:val="000000"/>
        </w:rPr>
        <w:tab/>
      </w:r>
      <w:hyperlink r:id="rId39" w:history="1">
        <w:r w:rsidRPr="00E87CD5">
          <w:rPr>
            <w:rStyle w:val="Hyperlink"/>
            <w:rFonts w:cs="Arial"/>
            <w:bCs/>
          </w:rPr>
          <w:t>andrew.fox@lancashire.gov.uk</w:t>
        </w:r>
      </w:hyperlink>
    </w:p>
    <w:sectPr w:rsidR="00E31FB3" w:rsidSect="00332E22">
      <w:footerReference w:type="default" r:id="rId40"/>
      <w:type w:val="continuous"/>
      <w:pgSz w:w="12240" w:h="15840" w:code="1"/>
      <w:pgMar w:top="567" w:right="1021" w:bottom="0" w:left="851" w:header="284" w:footer="284" w:gutter="0"/>
      <w:pgNumType w:start="1" w:chapStyle="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191" w:rsidRDefault="00480191">
      <w:r>
        <w:separator/>
      </w:r>
    </w:p>
  </w:endnote>
  <w:endnote w:type="continuationSeparator" w:id="0">
    <w:p w:rsidR="00480191" w:rsidRDefault="00480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220870"/>
      <w:docPartObj>
        <w:docPartGallery w:val="Page Numbers (Bottom of Page)"/>
        <w:docPartUnique/>
      </w:docPartObj>
    </w:sdtPr>
    <w:sdtEndPr>
      <w:rPr>
        <w:noProof/>
      </w:rPr>
    </w:sdtEndPr>
    <w:sdtContent>
      <w:p w:rsidR="00480191" w:rsidRDefault="00480191">
        <w:pPr>
          <w:pStyle w:val="Footer"/>
          <w:jc w:val="right"/>
        </w:pPr>
        <w:r>
          <w:fldChar w:fldCharType="begin"/>
        </w:r>
        <w:r>
          <w:instrText xml:space="preserve"> PAGE   \* MERGEFORMAT </w:instrText>
        </w:r>
        <w:r>
          <w:fldChar w:fldCharType="separate"/>
        </w:r>
        <w:r w:rsidR="007C3032">
          <w:rPr>
            <w:noProof/>
          </w:rPr>
          <w:t>4</w:t>
        </w:r>
        <w:r>
          <w:rPr>
            <w:noProof/>
          </w:rPr>
          <w:fldChar w:fldCharType="end"/>
        </w:r>
      </w:p>
    </w:sdtContent>
  </w:sdt>
  <w:p w:rsidR="00480191" w:rsidRDefault="004801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191" w:rsidRDefault="00480191">
      <w:r>
        <w:separator/>
      </w:r>
    </w:p>
  </w:footnote>
  <w:footnote w:type="continuationSeparator" w:id="0">
    <w:p w:rsidR="00480191" w:rsidRDefault="004801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DCEE8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E6080"/>
    <w:multiLevelType w:val="hybridMultilevel"/>
    <w:tmpl w:val="F6A6EE70"/>
    <w:lvl w:ilvl="0" w:tplc="D1FE8FE6">
      <w:start w:val="4"/>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1C61ED"/>
    <w:multiLevelType w:val="hybridMultilevel"/>
    <w:tmpl w:val="0CC2AC06"/>
    <w:lvl w:ilvl="0" w:tplc="4314C1E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7EF0DA0"/>
    <w:multiLevelType w:val="hybridMultilevel"/>
    <w:tmpl w:val="3F8EA61C"/>
    <w:lvl w:ilvl="0" w:tplc="6CB283B6">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nsid w:val="0C815D94"/>
    <w:multiLevelType w:val="hybridMultilevel"/>
    <w:tmpl w:val="F1FCF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4F6F21"/>
    <w:multiLevelType w:val="multilevel"/>
    <w:tmpl w:val="EC42485A"/>
    <w:lvl w:ilvl="0">
      <w:start w:val="1"/>
      <w:numFmt w:val="decimal"/>
      <w:pStyle w:val="Bullet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BBF26DB"/>
    <w:multiLevelType w:val="hybridMultilevel"/>
    <w:tmpl w:val="C4BE2494"/>
    <w:lvl w:ilvl="0" w:tplc="74E28358">
      <w:start w:val="2"/>
      <w:numFmt w:val="bullet"/>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22A83B71"/>
    <w:multiLevelType w:val="multilevel"/>
    <w:tmpl w:val="6994C1A8"/>
    <w:lvl w:ilvl="0">
      <w:start w:val="1"/>
      <w:numFmt w:val="bullet"/>
      <w:pStyle w:val="BulletSingle"/>
      <w:lvlText w:val=""/>
      <w:lvlJc w:val="left"/>
      <w:pPr>
        <w:tabs>
          <w:tab w:val="num" w:pos="360"/>
        </w:tabs>
        <w:ind w:left="357" w:hanging="357"/>
      </w:pPr>
      <w:rPr>
        <w:rFonts w:ascii="Wingdings" w:hAnsi="Wingdings" w:hint="default"/>
        <w:sz w:val="20"/>
      </w:rPr>
    </w:lvl>
    <w:lvl w:ilvl="1">
      <w:start w:val="1"/>
      <w:numFmt w:val="bullet"/>
      <w:pStyle w:val="BulletSingle2"/>
      <w:lvlText w:val=""/>
      <w:lvlJc w:val="left"/>
      <w:pPr>
        <w:tabs>
          <w:tab w:val="num" w:pos="720"/>
        </w:tabs>
        <w:ind w:left="720" w:hanging="360"/>
      </w:pPr>
      <w:rPr>
        <w:rFonts w:ascii="Wingdings" w:hAnsi="Wingdings" w:hint="default"/>
        <w:sz w:val="20"/>
      </w:rPr>
    </w:lvl>
    <w:lvl w:ilvl="2">
      <w:start w:val="1"/>
      <w:numFmt w:val="bullet"/>
      <w:pStyle w:val="BulletSingle3"/>
      <w:lvlText w:val=""/>
      <w:lvlJc w:val="left"/>
      <w:pPr>
        <w:tabs>
          <w:tab w:val="num" w:pos="1080"/>
        </w:tabs>
        <w:ind w:left="1080" w:hanging="360"/>
      </w:pPr>
      <w:rPr>
        <w:rFonts w:ascii="Wingdings" w:hAnsi="Wingdings" w:hint="default"/>
        <w:sz w:val="20"/>
      </w:rPr>
    </w:lvl>
    <w:lvl w:ilvl="3">
      <w:start w:val="1"/>
      <w:numFmt w:val="bullet"/>
      <w:pStyle w:val="BulletSingle4"/>
      <w:lvlText w:val=""/>
      <w:lvlJc w:val="left"/>
      <w:pPr>
        <w:tabs>
          <w:tab w:val="num" w:pos="1800"/>
        </w:tabs>
        <w:ind w:left="1800" w:hanging="360"/>
      </w:pPr>
      <w:rPr>
        <w:rFonts w:ascii="Wingdings" w:hAnsi="Wingding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C5C6F77"/>
    <w:multiLevelType w:val="hybridMultilevel"/>
    <w:tmpl w:val="F5464546"/>
    <w:lvl w:ilvl="0" w:tplc="33C0D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2A4331"/>
    <w:multiLevelType w:val="multilevel"/>
    <w:tmpl w:val="EB942036"/>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nsid w:val="345F6AAF"/>
    <w:multiLevelType w:val="hybridMultilevel"/>
    <w:tmpl w:val="EDD8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E66A37"/>
    <w:multiLevelType w:val="multilevel"/>
    <w:tmpl w:val="03FC1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7295529"/>
    <w:multiLevelType w:val="hybridMultilevel"/>
    <w:tmpl w:val="B554D94A"/>
    <w:lvl w:ilvl="0" w:tplc="F266D47E">
      <w:start w:val="3"/>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E44637"/>
    <w:multiLevelType w:val="hybridMultilevel"/>
    <w:tmpl w:val="F72276D8"/>
    <w:lvl w:ilvl="0" w:tplc="48CC0DC2">
      <w:start w:val="1"/>
      <w:numFmt w:val="upperLetter"/>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B0D23D2"/>
    <w:multiLevelType w:val="hybridMultilevel"/>
    <w:tmpl w:val="C284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7F26DD"/>
    <w:multiLevelType w:val="hybridMultilevel"/>
    <w:tmpl w:val="06E624A8"/>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45A722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8">
    <w:nsid w:val="45797449"/>
    <w:multiLevelType w:val="hybridMultilevel"/>
    <w:tmpl w:val="F0048B9C"/>
    <w:lvl w:ilvl="0" w:tplc="74E28358">
      <w:start w:val="2"/>
      <w:numFmt w:val="bullet"/>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nsid w:val="49D07746"/>
    <w:multiLevelType w:val="hybridMultilevel"/>
    <w:tmpl w:val="2362B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4B51AD"/>
    <w:multiLevelType w:val="hybridMultilevel"/>
    <w:tmpl w:val="FDC64F48"/>
    <w:lvl w:ilvl="0" w:tplc="1EEED8E2">
      <w:start w:val="4"/>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D27F03"/>
    <w:multiLevelType w:val="hybridMultilevel"/>
    <w:tmpl w:val="B358C7BA"/>
    <w:lvl w:ilvl="0" w:tplc="3B604AF2">
      <w:start w:val="6"/>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6F6D84"/>
    <w:multiLevelType w:val="hybridMultilevel"/>
    <w:tmpl w:val="7F8EE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084E34"/>
    <w:multiLevelType w:val="hybridMultilevel"/>
    <w:tmpl w:val="C364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3D47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54742E0B"/>
    <w:multiLevelType w:val="singleLevel"/>
    <w:tmpl w:val="74E28358"/>
    <w:lvl w:ilvl="0">
      <w:start w:val="2"/>
      <w:numFmt w:val="bullet"/>
      <w:lvlText w:val="-"/>
      <w:lvlJc w:val="left"/>
      <w:pPr>
        <w:tabs>
          <w:tab w:val="num" w:pos="825"/>
        </w:tabs>
        <w:ind w:left="825" w:hanging="393"/>
      </w:pPr>
      <w:rPr>
        <w:rFonts w:ascii="Times New Roman" w:hAnsi="Times New Roman" w:hint="default"/>
      </w:rPr>
    </w:lvl>
  </w:abstractNum>
  <w:abstractNum w:abstractNumId="26">
    <w:nsid w:val="5EE36836"/>
    <w:multiLevelType w:val="hybridMultilevel"/>
    <w:tmpl w:val="7A32330C"/>
    <w:lvl w:ilvl="0" w:tplc="4FF60F78">
      <w:start w:val="4"/>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621203"/>
    <w:multiLevelType w:val="hybridMultilevel"/>
    <w:tmpl w:val="45706A08"/>
    <w:lvl w:ilvl="0" w:tplc="0809001B">
      <w:start w:val="1"/>
      <w:numFmt w:val="low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nsid w:val="6A0F1195"/>
    <w:multiLevelType w:val="hybridMultilevel"/>
    <w:tmpl w:val="583096E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nsid w:val="78E077D7"/>
    <w:multiLevelType w:val="hybridMultilevel"/>
    <w:tmpl w:val="0E90EAD4"/>
    <w:lvl w:ilvl="0" w:tplc="68F0204C">
      <w:start w:val="1"/>
      <w:numFmt w:val="lowerLetter"/>
      <w:lvlText w:val="%1)"/>
      <w:lvlJc w:val="left"/>
      <w:pPr>
        <w:ind w:left="1287" w:hanging="360"/>
      </w:pPr>
      <w:rPr>
        <w:b w:val="0"/>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nsid w:val="7CD00AAC"/>
    <w:multiLevelType w:val="hybridMultilevel"/>
    <w:tmpl w:val="2CE2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25"/>
  </w:num>
  <w:num w:numId="5">
    <w:abstractNumId w:val="24"/>
  </w:num>
  <w:num w:numId="6">
    <w:abstractNumId w:val="5"/>
  </w:num>
  <w:num w:numId="7">
    <w:abstractNumId w:val="16"/>
  </w:num>
  <w:num w:numId="8">
    <w:abstractNumId w:val="7"/>
  </w:num>
  <w:num w:numId="9">
    <w:abstractNumId w:val="2"/>
  </w:num>
  <w:num w:numId="10">
    <w:abstractNumId w:val="13"/>
  </w:num>
  <w:num w:numId="11">
    <w:abstractNumId w:val="27"/>
  </w:num>
  <w:num w:numId="12">
    <w:abstractNumId w:val="8"/>
  </w:num>
  <w:num w:numId="13">
    <w:abstractNumId w:val="29"/>
  </w:num>
  <w:num w:numId="14">
    <w:abstractNumId w:val="18"/>
  </w:num>
  <w:num w:numId="15">
    <w:abstractNumId w:val="6"/>
  </w:num>
  <w:num w:numId="16">
    <w:abstractNumId w:val="15"/>
  </w:num>
  <w:num w:numId="17">
    <w:abstractNumId w:val="20"/>
  </w:num>
  <w:num w:numId="18">
    <w:abstractNumId w:val="12"/>
  </w:num>
  <w:num w:numId="19">
    <w:abstractNumId w:val="3"/>
  </w:num>
  <w:num w:numId="20">
    <w:abstractNumId w:val="30"/>
  </w:num>
  <w:num w:numId="21">
    <w:abstractNumId w:val="4"/>
  </w:num>
  <w:num w:numId="22">
    <w:abstractNumId w:val="28"/>
  </w:num>
  <w:num w:numId="23">
    <w:abstractNumId w:val="10"/>
  </w:num>
  <w:num w:numId="24">
    <w:abstractNumId w:val="22"/>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4"/>
  </w:num>
  <w:num w:numId="40">
    <w:abstractNumId w:val="26"/>
  </w:num>
  <w:num w:numId="41">
    <w:abstractNumId w:val="1"/>
  </w:num>
  <w:num w:numId="42">
    <w:abstractNumId w:val="21"/>
  </w:num>
  <w:num w:numId="43">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98"/>
  <w:drawingGridHorizontalSpacing w:val="120"/>
  <w:displayHorizontalDrawingGridEvery w:val="0"/>
  <w:displayVerticalDrawingGridEvery w:val="0"/>
  <w:noPunctuationKerning/>
  <w:characterSpacingControl w:val="doNotCompress"/>
  <w:hdrShapeDefaults>
    <o:shapedefaults v:ext="edit" spidmax="206849">
      <o:colormru v:ext="edit" colors="#ddd,green"/>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17A"/>
    <w:rsid w:val="00000207"/>
    <w:rsid w:val="00002C05"/>
    <w:rsid w:val="00003922"/>
    <w:rsid w:val="000040C1"/>
    <w:rsid w:val="0000517F"/>
    <w:rsid w:val="000057BE"/>
    <w:rsid w:val="00006951"/>
    <w:rsid w:val="00007603"/>
    <w:rsid w:val="00007B30"/>
    <w:rsid w:val="00010A11"/>
    <w:rsid w:val="00010DC9"/>
    <w:rsid w:val="00011588"/>
    <w:rsid w:val="000152D5"/>
    <w:rsid w:val="00015FF1"/>
    <w:rsid w:val="0001765A"/>
    <w:rsid w:val="000204EE"/>
    <w:rsid w:val="00020707"/>
    <w:rsid w:val="00021ACF"/>
    <w:rsid w:val="0002246F"/>
    <w:rsid w:val="00022C21"/>
    <w:rsid w:val="0002609B"/>
    <w:rsid w:val="00030FED"/>
    <w:rsid w:val="000312BC"/>
    <w:rsid w:val="0003312C"/>
    <w:rsid w:val="000337BD"/>
    <w:rsid w:val="00042AA6"/>
    <w:rsid w:val="00042FA2"/>
    <w:rsid w:val="00043762"/>
    <w:rsid w:val="000447B5"/>
    <w:rsid w:val="000448B5"/>
    <w:rsid w:val="00045180"/>
    <w:rsid w:val="000455A1"/>
    <w:rsid w:val="0004576F"/>
    <w:rsid w:val="000461D8"/>
    <w:rsid w:val="000471BA"/>
    <w:rsid w:val="00047DD0"/>
    <w:rsid w:val="000501EB"/>
    <w:rsid w:val="00050438"/>
    <w:rsid w:val="00051277"/>
    <w:rsid w:val="0005245C"/>
    <w:rsid w:val="00054781"/>
    <w:rsid w:val="000551AB"/>
    <w:rsid w:val="00055E5C"/>
    <w:rsid w:val="00056E67"/>
    <w:rsid w:val="00060342"/>
    <w:rsid w:val="0006060A"/>
    <w:rsid w:val="00060E6D"/>
    <w:rsid w:val="000624DD"/>
    <w:rsid w:val="00062F20"/>
    <w:rsid w:val="000665DF"/>
    <w:rsid w:val="00066E4C"/>
    <w:rsid w:val="00070DCE"/>
    <w:rsid w:val="00073F5E"/>
    <w:rsid w:val="00082C92"/>
    <w:rsid w:val="00083031"/>
    <w:rsid w:val="00083800"/>
    <w:rsid w:val="00084BC1"/>
    <w:rsid w:val="00085FCE"/>
    <w:rsid w:val="00091001"/>
    <w:rsid w:val="000927EA"/>
    <w:rsid w:val="000942CE"/>
    <w:rsid w:val="000946DA"/>
    <w:rsid w:val="00095382"/>
    <w:rsid w:val="0009641E"/>
    <w:rsid w:val="0009677B"/>
    <w:rsid w:val="0009705F"/>
    <w:rsid w:val="000A10A1"/>
    <w:rsid w:val="000A17E1"/>
    <w:rsid w:val="000A2416"/>
    <w:rsid w:val="000A48AF"/>
    <w:rsid w:val="000A54B3"/>
    <w:rsid w:val="000A71CB"/>
    <w:rsid w:val="000A7A2D"/>
    <w:rsid w:val="000B0126"/>
    <w:rsid w:val="000B1204"/>
    <w:rsid w:val="000B219A"/>
    <w:rsid w:val="000B2827"/>
    <w:rsid w:val="000B3A8E"/>
    <w:rsid w:val="000B5D12"/>
    <w:rsid w:val="000B629B"/>
    <w:rsid w:val="000B6EED"/>
    <w:rsid w:val="000B71AD"/>
    <w:rsid w:val="000B7778"/>
    <w:rsid w:val="000C0A02"/>
    <w:rsid w:val="000C375D"/>
    <w:rsid w:val="000C50AF"/>
    <w:rsid w:val="000C5D95"/>
    <w:rsid w:val="000C7DF3"/>
    <w:rsid w:val="000C7ED3"/>
    <w:rsid w:val="000D02DB"/>
    <w:rsid w:val="000D03D5"/>
    <w:rsid w:val="000D05F4"/>
    <w:rsid w:val="000D5258"/>
    <w:rsid w:val="000D5991"/>
    <w:rsid w:val="000D6BF5"/>
    <w:rsid w:val="000E0EE3"/>
    <w:rsid w:val="000E1D8A"/>
    <w:rsid w:val="000E4312"/>
    <w:rsid w:val="000E47DB"/>
    <w:rsid w:val="000E6874"/>
    <w:rsid w:val="000E7D80"/>
    <w:rsid w:val="000F1578"/>
    <w:rsid w:val="000F1BBF"/>
    <w:rsid w:val="000F2884"/>
    <w:rsid w:val="000F468B"/>
    <w:rsid w:val="000F6522"/>
    <w:rsid w:val="000F699B"/>
    <w:rsid w:val="000F6FA6"/>
    <w:rsid w:val="000F7FDA"/>
    <w:rsid w:val="00100128"/>
    <w:rsid w:val="0010099D"/>
    <w:rsid w:val="00104348"/>
    <w:rsid w:val="0010528B"/>
    <w:rsid w:val="00105321"/>
    <w:rsid w:val="00105BC2"/>
    <w:rsid w:val="00110F71"/>
    <w:rsid w:val="0011110D"/>
    <w:rsid w:val="00112D54"/>
    <w:rsid w:val="00113900"/>
    <w:rsid w:val="00114AFA"/>
    <w:rsid w:val="00116633"/>
    <w:rsid w:val="00117391"/>
    <w:rsid w:val="00117975"/>
    <w:rsid w:val="001204FD"/>
    <w:rsid w:val="00120A58"/>
    <w:rsid w:val="001224AE"/>
    <w:rsid w:val="00123C37"/>
    <w:rsid w:val="00123F0B"/>
    <w:rsid w:val="00124268"/>
    <w:rsid w:val="00127B8E"/>
    <w:rsid w:val="00130243"/>
    <w:rsid w:val="00130960"/>
    <w:rsid w:val="00131DFA"/>
    <w:rsid w:val="001323A8"/>
    <w:rsid w:val="001327AB"/>
    <w:rsid w:val="0013321B"/>
    <w:rsid w:val="0013578F"/>
    <w:rsid w:val="0013585F"/>
    <w:rsid w:val="00135D8E"/>
    <w:rsid w:val="00136310"/>
    <w:rsid w:val="00136FB0"/>
    <w:rsid w:val="001417CF"/>
    <w:rsid w:val="00141C1D"/>
    <w:rsid w:val="001428E6"/>
    <w:rsid w:val="00143164"/>
    <w:rsid w:val="00143209"/>
    <w:rsid w:val="00143220"/>
    <w:rsid w:val="001438CE"/>
    <w:rsid w:val="00144ECD"/>
    <w:rsid w:val="001478E0"/>
    <w:rsid w:val="00147B03"/>
    <w:rsid w:val="00150346"/>
    <w:rsid w:val="001507B4"/>
    <w:rsid w:val="001536D2"/>
    <w:rsid w:val="00154DD3"/>
    <w:rsid w:val="00156197"/>
    <w:rsid w:val="001566C9"/>
    <w:rsid w:val="00156869"/>
    <w:rsid w:val="0016326A"/>
    <w:rsid w:val="001632AF"/>
    <w:rsid w:val="001661A3"/>
    <w:rsid w:val="00166965"/>
    <w:rsid w:val="00166C65"/>
    <w:rsid w:val="00167CF2"/>
    <w:rsid w:val="001700DA"/>
    <w:rsid w:val="00170654"/>
    <w:rsid w:val="00171D57"/>
    <w:rsid w:val="00172DDF"/>
    <w:rsid w:val="0017336D"/>
    <w:rsid w:val="00174932"/>
    <w:rsid w:val="001749B7"/>
    <w:rsid w:val="00174BE9"/>
    <w:rsid w:val="0017515A"/>
    <w:rsid w:val="00175F9E"/>
    <w:rsid w:val="0017605D"/>
    <w:rsid w:val="001765E3"/>
    <w:rsid w:val="00177BAA"/>
    <w:rsid w:val="00180744"/>
    <w:rsid w:val="00180C53"/>
    <w:rsid w:val="00180C86"/>
    <w:rsid w:val="00181687"/>
    <w:rsid w:val="00181B87"/>
    <w:rsid w:val="0018373A"/>
    <w:rsid w:val="001844CD"/>
    <w:rsid w:val="00184701"/>
    <w:rsid w:val="00185726"/>
    <w:rsid w:val="0018673A"/>
    <w:rsid w:val="00186CC5"/>
    <w:rsid w:val="001870CC"/>
    <w:rsid w:val="001871F0"/>
    <w:rsid w:val="001876F4"/>
    <w:rsid w:val="00192841"/>
    <w:rsid w:val="00193ECB"/>
    <w:rsid w:val="00196337"/>
    <w:rsid w:val="00197DCD"/>
    <w:rsid w:val="001A06D6"/>
    <w:rsid w:val="001A1574"/>
    <w:rsid w:val="001A306A"/>
    <w:rsid w:val="001A50B6"/>
    <w:rsid w:val="001A5AA3"/>
    <w:rsid w:val="001A6739"/>
    <w:rsid w:val="001B0A3B"/>
    <w:rsid w:val="001B1452"/>
    <w:rsid w:val="001B1740"/>
    <w:rsid w:val="001B3267"/>
    <w:rsid w:val="001B4BDF"/>
    <w:rsid w:val="001B632C"/>
    <w:rsid w:val="001B6654"/>
    <w:rsid w:val="001B759A"/>
    <w:rsid w:val="001B7708"/>
    <w:rsid w:val="001C0D1F"/>
    <w:rsid w:val="001C233D"/>
    <w:rsid w:val="001C3101"/>
    <w:rsid w:val="001C3B0A"/>
    <w:rsid w:val="001C4097"/>
    <w:rsid w:val="001C5A97"/>
    <w:rsid w:val="001C5EE0"/>
    <w:rsid w:val="001C6452"/>
    <w:rsid w:val="001C7C2B"/>
    <w:rsid w:val="001D02DE"/>
    <w:rsid w:val="001D14A9"/>
    <w:rsid w:val="001D3559"/>
    <w:rsid w:val="001D4D59"/>
    <w:rsid w:val="001D536F"/>
    <w:rsid w:val="001D6226"/>
    <w:rsid w:val="001D71E8"/>
    <w:rsid w:val="001E3B74"/>
    <w:rsid w:val="001E4952"/>
    <w:rsid w:val="001E5D39"/>
    <w:rsid w:val="001E6F44"/>
    <w:rsid w:val="001E7BD2"/>
    <w:rsid w:val="001F5166"/>
    <w:rsid w:val="001F57D8"/>
    <w:rsid w:val="001F5E41"/>
    <w:rsid w:val="001F6958"/>
    <w:rsid w:val="0020046D"/>
    <w:rsid w:val="00200574"/>
    <w:rsid w:val="0020245C"/>
    <w:rsid w:val="002024AD"/>
    <w:rsid w:val="0020256C"/>
    <w:rsid w:val="00206047"/>
    <w:rsid w:val="00206086"/>
    <w:rsid w:val="0021073C"/>
    <w:rsid w:val="00216109"/>
    <w:rsid w:val="0021623E"/>
    <w:rsid w:val="00216A20"/>
    <w:rsid w:val="00217B40"/>
    <w:rsid w:val="002226A1"/>
    <w:rsid w:val="00226F98"/>
    <w:rsid w:val="00226FB6"/>
    <w:rsid w:val="00230F62"/>
    <w:rsid w:val="00231AC0"/>
    <w:rsid w:val="00234C30"/>
    <w:rsid w:val="002350A5"/>
    <w:rsid w:val="00235B52"/>
    <w:rsid w:val="00236915"/>
    <w:rsid w:val="00240DA0"/>
    <w:rsid w:val="00241F4C"/>
    <w:rsid w:val="002469DD"/>
    <w:rsid w:val="0025167A"/>
    <w:rsid w:val="0025340C"/>
    <w:rsid w:val="00253F9F"/>
    <w:rsid w:val="00255B66"/>
    <w:rsid w:val="00257D26"/>
    <w:rsid w:val="002609C9"/>
    <w:rsid w:val="00260A03"/>
    <w:rsid w:val="0026143F"/>
    <w:rsid w:val="002620A0"/>
    <w:rsid w:val="002621A9"/>
    <w:rsid w:val="002627C3"/>
    <w:rsid w:val="00262CE2"/>
    <w:rsid w:val="00266ABC"/>
    <w:rsid w:val="00266D33"/>
    <w:rsid w:val="00267E91"/>
    <w:rsid w:val="00271813"/>
    <w:rsid w:val="002747C3"/>
    <w:rsid w:val="002763EE"/>
    <w:rsid w:val="00276B77"/>
    <w:rsid w:val="00281D11"/>
    <w:rsid w:val="0028430D"/>
    <w:rsid w:val="00285080"/>
    <w:rsid w:val="00286610"/>
    <w:rsid w:val="00287054"/>
    <w:rsid w:val="00287FDF"/>
    <w:rsid w:val="0029252F"/>
    <w:rsid w:val="00292D14"/>
    <w:rsid w:val="002939AE"/>
    <w:rsid w:val="00293F72"/>
    <w:rsid w:val="00294CF8"/>
    <w:rsid w:val="002979E9"/>
    <w:rsid w:val="002A02A8"/>
    <w:rsid w:val="002A04EF"/>
    <w:rsid w:val="002A5221"/>
    <w:rsid w:val="002A571B"/>
    <w:rsid w:val="002A6A7B"/>
    <w:rsid w:val="002B042A"/>
    <w:rsid w:val="002B199B"/>
    <w:rsid w:val="002B2B44"/>
    <w:rsid w:val="002B32C0"/>
    <w:rsid w:val="002B5630"/>
    <w:rsid w:val="002C009D"/>
    <w:rsid w:val="002C0877"/>
    <w:rsid w:val="002C445D"/>
    <w:rsid w:val="002C4AD2"/>
    <w:rsid w:val="002C5BDB"/>
    <w:rsid w:val="002C7D07"/>
    <w:rsid w:val="002D0B4A"/>
    <w:rsid w:val="002D22E4"/>
    <w:rsid w:val="002D2D4D"/>
    <w:rsid w:val="002D5F9F"/>
    <w:rsid w:val="002D6A7F"/>
    <w:rsid w:val="002D6E80"/>
    <w:rsid w:val="002D77A2"/>
    <w:rsid w:val="002E00A1"/>
    <w:rsid w:val="002E06A4"/>
    <w:rsid w:val="002E0A2C"/>
    <w:rsid w:val="002E1E30"/>
    <w:rsid w:val="002E22A2"/>
    <w:rsid w:val="002E2805"/>
    <w:rsid w:val="002E3CF8"/>
    <w:rsid w:val="002E4BCB"/>
    <w:rsid w:val="002E5C1F"/>
    <w:rsid w:val="002E5FF6"/>
    <w:rsid w:val="002E6823"/>
    <w:rsid w:val="002E6848"/>
    <w:rsid w:val="002F6CA1"/>
    <w:rsid w:val="002F7717"/>
    <w:rsid w:val="002F77BC"/>
    <w:rsid w:val="003006B1"/>
    <w:rsid w:val="0030136A"/>
    <w:rsid w:val="003019BC"/>
    <w:rsid w:val="003039F6"/>
    <w:rsid w:val="00303AC4"/>
    <w:rsid w:val="00303DC0"/>
    <w:rsid w:val="00303EB4"/>
    <w:rsid w:val="00304D4D"/>
    <w:rsid w:val="003056E9"/>
    <w:rsid w:val="00305EF3"/>
    <w:rsid w:val="00305FAF"/>
    <w:rsid w:val="003128C9"/>
    <w:rsid w:val="00312BB9"/>
    <w:rsid w:val="00316A08"/>
    <w:rsid w:val="00320722"/>
    <w:rsid w:val="003207B3"/>
    <w:rsid w:val="003210A3"/>
    <w:rsid w:val="0032114B"/>
    <w:rsid w:val="00322985"/>
    <w:rsid w:val="0032368F"/>
    <w:rsid w:val="00323915"/>
    <w:rsid w:val="00323E71"/>
    <w:rsid w:val="00325350"/>
    <w:rsid w:val="003253EA"/>
    <w:rsid w:val="003276DD"/>
    <w:rsid w:val="00330716"/>
    <w:rsid w:val="00330F82"/>
    <w:rsid w:val="003328F2"/>
    <w:rsid w:val="00332E22"/>
    <w:rsid w:val="003332F4"/>
    <w:rsid w:val="003344B4"/>
    <w:rsid w:val="0034145A"/>
    <w:rsid w:val="00342441"/>
    <w:rsid w:val="003444A0"/>
    <w:rsid w:val="003454E5"/>
    <w:rsid w:val="0034581D"/>
    <w:rsid w:val="0034595A"/>
    <w:rsid w:val="00345C1B"/>
    <w:rsid w:val="0034723C"/>
    <w:rsid w:val="00351673"/>
    <w:rsid w:val="00351FD6"/>
    <w:rsid w:val="00352BEA"/>
    <w:rsid w:val="00354CD5"/>
    <w:rsid w:val="003577B4"/>
    <w:rsid w:val="003606AE"/>
    <w:rsid w:val="003609C1"/>
    <w:rsid w:val="003611D5"/>
    <w:rsid w:val="00361656"/>
    <w:rsid w:val="00362437"/>
    <w:rsid w:val="003630D5"/>
    <w:rsid w:val="00365B4F"/>
    <w:rsid w:val="0036628F"/>
    <w:rsid w:val="00366606"/>
    <w:rsid w:val="00366758"/>
    <w:rsid w:val="0036745E"/>
    <w:rsid w:val="003723CA"/>
    <w:rsid w:val="00374A5B"/>
    <w:rsid w:val="003758D5"/>
    <w:rsid w:val="00376A89"/>
    <w:rsid w:val="00376AEA"/>
    <w:rsid w:val="00376AF0"/>
    <w:rsid w:val="00381749"/>
    <w:rsid w:val="0038257E"/>
    <w:rsid w:val="00383339"/>
    <w:rsid w:val="003839E9"/>
    <w:rsid w:val="00384193"/>
    <w:rsid w:val="00386250"/>
    <w:rsid w:val="003872DB"/>
    <w:rsid w:val="00387F14"/>
    <w:rsid w:val="00390D09"/>
    <w:rsid w:val="003920CF"/>
    <w:rsid w:val="00392A1D"/>
    <w:rsid w:val="00392E61"/>
    <w:rsid w:val="00394AF1"/>
    <w:rsid w:val="00394C5F"/>
    <w:rsid w:val="00394D30"/>
    <w:rsid w:val="0039509F"/>
    <w:rsid w:val="00396887"/>
    <w:rsid w:val="00396C6B"/>
    <w:rsid w:val="003A3201"/>
    <w:rsid w:val="003A51AD"/>
    <w:rsid w:val="003A51FC"/>
    <w:rsid w:val="003A591D"/>
    <w:rsid w:val="003A77E0"/>
    <w:rsid w:val="003B106A"/>
    <w:rsid w:val="003B2827"/>
    <w:rsid w:val="003B2A4C"/>
    <w:rsid w:val="003B3A41"/>
    <w:rsid w:val="003B412F"/>
    <w:rsid w:val="003B4577"/>
    <w:rsid w:val="003B4A69"/>
    <w:rsid w:val="003B59E8"/>
    <w:rsid w:val="003B6578"/>
    <w:rsid w:val="003C04C2"/>
    <w:rsid w:val="003C0AA5"/>
    <w:rsid w:val="003C1785"/>
    <w:rsid w:val="003C2346"/>
    <w:rsid w:val="003C34DC"/>
    <w:rsid w:val="003C3E11"/>
    <w:rsid w:val="003C4047"/>
    <w:rsid w:val="003C4F5A"/>
    <w:rsid w:val="003C5225"/>
    <w:rsid w:val="003C52C2"/>
    <w:rsid w:val="003C64A3"/>
    <w:rsid w:val="003C7B9B"/>
    <w:rsid w:val="003D21D8"/>
    <w:rsid w:val="003D3AB7"/>
    <w:rsid w:val="003E04C1"/>
    <w:rsid w:val="003E13E4"/>
    <w:rsid w:val="003E400E"/>
    <w:rsid w:val="003E4A17"/>
    <w:rsid w:val="003E4FE8"/>
    <w:rsid w:val="003F1D86"/>
    <w:rsid w:val="003F21F1"/>
    <w:rsid w:val="003F2F49"/>
    <w:rsid w:val="003F36B9"/>
    <w:rsid w:val="003F3A3A"/>
    <w:rsid w:val="003F3AC3"/>
    <w:rsid w:val="003F603C"/>
    <w:rsid w:val="003F60B4"/>
    <w:rsid w:val="004038DF"/>
    <w:rsid w:val="00410808"/>
    <w:rsid w:val="00410BB8"/>
    <w:rsid w:val="004126C0"/>
    <w:rsid w:val="00413712"/>
    <w:rsid w:val="00413B8D"/>
    <w:rsid w:val="00413BBA"/>
    <w:rsid w:val="00414F67"/>
    <w:rsid w:val="0041614E"/>
    <w:rsid w:val="004200F0"/>
    <w:rsid w:val="00420FD5"/>
    <w:rsid w:val="00422243"/>
    <w:rsid w:val="00422904"/>
    <w:rsid w:val="00422F84"/>
    <w:rsid w:val="00433A1B"/>
    <w:rsid w:val="004350BB"/>
    <w:rsid w:val="004362BE"/>
    <w:rsid w:val="0043739E"/>
    <w:rsid w:val="004376D4"/>
    <w:rsid w:val="0043789A"/>
    <w:rsid w:val="00440FAC"/>
    <w:rsid w:val="00442491"/>
    <w:rsid w:val="004424DC"/>
    <w:rsid w:val="0044283B"/>
    <w:rsid w:val="004428CC"/>
    <w:rsid w:val="00442CEC"/>
    <w:rsid w:val="00445FCD"/>
    <w:rsid w:val="0044610A"/>
    <w:rsid w:val="00447826"/>
    <w:rsid w:val="00452644"/>
    <w:rsid w:val="004534A9"/>
    <w:rsid w:val="00454432"/>
    <w:rsid w:val="004544D8"/>
    <w:rsid w:val="00454CB3"/>
    <w:rsid w:val="00456AFD"/>
    <w:rsid w:val="00457029"/>
    <w:rsid w:val="00457E5A"/>
    <w:rsid w:val="0046029E"/>
    <w:rsid w:val="004605C1"/>
    <w:rsid w:val="00460755"/>
    <w:rsid w:val="00462AA2"/>
    <w:rsid w:val="00470E28"/>
    <w:rsid w:val="0047239A"/>
    <w:rsid w:val="00473AD3"/>
    <w:rsid w:val="00473E25"/>
    <w:rsid w:val="00476E39"/>
    <w:rsid w:val="00480191"/>
    <w:rsid w:val="00480580"/>
    <w:rsid w:val="00480A6A"/>
    <w:rsid w:val="00483C79"/>
    <w:rsid w:val="004848F6"/>
    <w:rsid w:val="00485DCE"/>
    <w:rsid w:val="00490292"/>
    <w:rsid w:val="004903C8"/>
    <w:rsid w:val="004914DC"/>
    <w:rsid w:val="0049300B"/>
    <w:rsid w:val="004931B5"/>
    <w:rsid w:val="004931DF"/>
    <w:rsid w:val="004947F4"/>
    <w:rsid w:val="0049508B"/>
    <w:rsid w:val="004954D1"/>
    <w:rsid w:val="0049585F"/>
    <w:rsid w:val="00496808"/>
    <w:rsid w:val="004A0240"/>
    <w:rsid w:val="004A13FA"/>
    <w:rsid w:val="004A336E"/>
    <w:rsid w:val="004A387A"/>
    <w:rsid w:val="004A64B1"/>
    <w:rsid w:val="004A71DD"/>
    <w:rsid w:val="004A7F93"/>
    <w:rsid w:val="004B0BD1"/>
    <w:rsid w:val="004B2A3C"/>
    <w:rsid w:val="004B2E87"/>
    <w:rsid w:val="004B380D"/>
    <w:rsid w:val="004B3F2D"/>
    <w:rsid w:val="004B54C4"/>
    <w:rsid w:val="004B6530"/>
    <w:rsid w:val="004C16AF"/>
    <w:rsid w:val="004C16B2"/>
    <w:rsid w:val="004C1B1E"/>
    <w:rsid w:val="004C5138"/>
    <w:rsid w:val="004C6472"/>
    <w:rsid w:val="004C6656"/>
    <w:rsid w:val="004C6841"/>
    <w:rsid w:val="004C6BD2"/>
    <w:rsid w:val="004D05E6"/>
    <w:rsid w:val="004D0E01"/>
    <w:rsid w:val="004D412F"/>
    <w:rsid w:val="004D4E74"/>
    <w:rsid w:val="004D52E9"/>
    <w:rsid w:val="004D70F0"/>
    <w:rsid w:val="004E0E6D"/>
    <w:rsid w:val="004E10D7"/>
    <w:rsid w:val="004E1CF8"/>
    <w:rsid w:val="004E3272"/>
    <w:rsid w:val="004E3B4B"/>
    <w:rsid w:val="004E4388"/>
    <w:rsid w:val="004E5100"/>
    <w:rsid w:val="004E7F79"/>
    <w:rsid w:val="004F13BB"/>
    <w:rsid w:val="004F1AD8"/>
    <w:rsid w:val="004F2917"/>
    <w:rsid w:val="004F3042"/>
    <w:rsid w:val="004F5629"/>
    <w:rsid w:val="0050031E"/>
    <w:rsid w:val="005014EA"/>
    <w:rsid w:val="00502734"/>
    <w:rsid w:val="00502A69"/>
    <w:rsid w:val="00504AFC"/>
    <w:rsid w:val="00504E9A"/>
    <w:rsid w:val="00505C24"/>
    <w:rsid w:val="005068D7"/>
    <w:rsid w:val="00511011"/>
    <w:rsid w:val="00512263"/>
    <w:rsid w:val="0051245B"/>
    <w:rsid w:val="00513E21"/>
    <w:rsid w:val="00514426"/>
    <w:rsid w:val="0051624A"/>
    <w:rsid w:val="0051676C"/>
    <w:rsid w:val="00517D90"/>
    <w:rsid w:val="00522BA2"/>
    <w:rsid w:val="00526088"/>
    <w:rsid w:val="00526BC4"/>
    <w:rsid w:val="00527DAF"/>
    <w:rsid w:val="00531965"/>
    <w:rsid w:val="00532E08"/>
    <w:rsid w:val="005358F8"/>
    <w:rsid w:val="0053604B"/>
    <w:rsid w:val="0054063F"/>
    <w:rsid w:val="005412A2"/>
    <w:rsid w:val="00541DA0"/>
    <w:rsid w:val="00542B0F"/>
    <w:rsid w:val="00543639"/>
    <w:rsid w:val="00543872"/>
    <w:rsid w:val="00544C55"/>
    <w:rsid w:val="00550413"/>
    <w:rsid w:val="005514E7"/>
    <w:rsid w:val="00551836"/>
    <w:rsid w:val="0055201F"/>
    <w:rsid w:val="0055205A"/>
    <w:rsid w:val="005522A9"/>
    <w:rsid w:val="005535AF"/>
    <w:rsid w:val="005565E8"/>
    <w:rsid w:val="00556ED8"/>
    <w:rsid w:val="005606D8"/>
    <w:rsid w:val="00561214"/>
    <w:rsid w:val="00561559"/>
    <w:rsid w:val="00562A1E"/>
    <w:rsid w:val="0056563E"/>
    <w:rsid w:val="00566593"/>
    <w:rsid w:val="00567ECC"/>
    <w:rsid w:val="0057097F"/>
    <w:rsid w:val="005741AD"/>
    <w:rsid w:val="00574EB7"/>
    <w:rsid w:val="00575582"/>
    <w:rsid w:val="00575B57"/>
    <w:rsid w:val="00576993"/>
    <w:rsid w:val="00577B84"/>
    <w:rsid w:val="00577E66"/>
    <w:rsid w:val="0058318D"/>
    <w:rsid w:val="00583F69"/>
    <w:rsid w:val="00586E5F"/>
    <w:rsid w:val="005877C4"/>
    <w:rsid w:val="005949D0"/>
    <w:rsid w:val="00594D99"/>
    <w:rsid w:val="00595139"/>
    <w:rsid w:val="005A09E8"/>
    <w:rsid w:val="005A35D6"/>
    <w:rsid w:val="005A386E"/>
    <w:rsid w:val="005A3F29"/>
    <w:rsid w:val="005A4086"/>
    <w:rsid w:val="005A41D9"/>
    <w:rsid w:val="005A59CC"/>
    <w:rsid w:val="005A5A4A"/>
    <w:rsid w:val="005A6879"/>
    <w:rsid w:val="005A68DB"/>
    <w:rsid w:val="005B2137"/>
    <w:rsid w:val="005B22CB"/>
    <w:rsid w:val="005B5078"/>
    <w:rsid w:val="005B5193"/>
    <w:rsid w:val="005C2170"/>
    <w:rsid w:val="005C35F8"/>
    <w:rsid w:val="005C3A09"/>
    <w:rsid w:val="005C527A"/>
    <w:rsid w:val="005C603B"/>
    <w:rsid w:val="005C60A7"/>
    <w:rsid w:val="005C6D7D"/>
    <w:rsid w:val="005C6D98"/>
    <w:rsid w:val="005D05A0"/>
    <w:rsid w:val="005D0ECC"/>
    <w:rsid w:val="005D170B"/>
    <w:rsid w:val="005D21A6"/>
    <w:rsid w:val="005D27A4"/>
    <w:rsid w:val="005D2A19"/>
    <w:rsid w:val="005D5A3D"/>
    <w:rsid w:val="005D730F"/>
    <w:rsid w:val="005E0940"/>
    <w:rsid w:val="005E2232"/>
    <w:rsid w:val="005E2359"/>
    <w:rsid w:val="005E2F8B"/>
    <w:rsid w:val="005E3B68"/>
    <w:rsid w:val="005E3D0B"/>
    <w:rsid w:val="005E424E"/>
    <w:rsid w:val="005E55D3"/>
    <w:rsid w:val="005E753A"/>
    <w:rsid w:val="005F0092"/>
    <w:rsid w:val="005F063C"/>
    <w:rsid w:val="005F0FF2"/>
    <w:rsid w:val="005F2996"/>
    <w:rsid w:val="005F3ADC"/>
    <w:rsid w:val="005F4B6D"/>
    <w:rsid w:val="005F554C"/>
    <w:rsid w:val="005F5DB3"/>
    <w:rsid w:val="005F6923"/>
    <w:rsid w:val="005F7CB6"/>
    <w:rsid w:val="00601F94"/>
    <w:rsid w:val="00602350"/>
    <w:rsid w:val="00605211"/>
    <w:rsid w:val="00605233"/>
    <w:rsid w:val="006065DF"/>
    <w:rsid w:val="0060728B"/>
    <w:rsid w:val="00610562"/>
    <w:rsid w:val="00610A7E"/>
    <w:rsid w:val="00611208"/>
    <w:rsid w:val="006112E5"/>
    <w:rsid w:val="006113CB"/>
    <w:rsid w:val="006117D8"/>
    <w:rsid w:val="00613205"/>
    <w:rsid w:val="006137D0"/>
    <w:rsid w:val="00615524"/>
    <w:rsid w:val="0062087E"/>
    <w:rsid w:val="006229C6"/>
    <w:rsid w:val="00623954"/>
    <w:rsid w:val="00625FDD"/>
    <w:rsid w:val="00626516"/>
    <w:rsid w:val="00626FE6"/>
    <w:rsid w:val="006323F3"/>
    <w:rsid w:val="00633585"/>
    <w:rsid w:val="00633895"/>
    <w:rsid w:val="006343DA"/>
    <w:rsid w:val="0063510B"/>
    <w:rsid w:val="00635FB0"/>
    <w:rsid w:val="006360BE"/>
    <w:rsid w:val="00636DD0"/>
    <w:rsid w:val="00640334"/>
    <w:rsid w:val="00641371"/>
    <w:rsid w:val="00641432"/>
    <w:rsid w:val="00642CDA"/>
    <w:rsid w:val="006445E2"/>
    <w:rsid w:val="00650A21"/>
    <w:rsid w:val="00652F75"/>
    <w:rsid w:val="00653329"/>
    <w:rsid w:val="00653650"/>
    <w:rsid w:val="006536C2"/>
    <w:rsid w:val="00653ED4"/>
    <w:rsid w:val="00654475"/>
    <w:rsid w:val="00655594"/>
    <w:rsid w:val="006557AD"/>
    <w:rsid w:val="00656082"/>
    <w:rsid w:val="0065689B"/>
    <w:rsid w:val="00656E76"/>
    <w:rsid w:val="0065743D"/>
    <w:rsid w:val="00657E22"/>
    <w:rsid w:val="00661DF0"/>
    <w:rsid w:val="00664B7D"/>
    <w:rsid w:val="00667310"/>
    <w:rsid w:val="00671921"/>
    <w:rsid w:val="006727EF"/>
    <w:rsid w:val="00675DC0"/>
    <w:rsid w:val="006826E5"/>
    <w:rsid w:val="00684824"/>
    <w:rsid w:val="006857BD"/>
    <w:rsid w:val="00686CCC"/>
    <w:rsid w:val="00686DA4"/>
    <w:rsid w:val="00690124"/>
    <w:rsid w:val="00690954"/>
    <w:rsid w:val="00694FCC"/>
    <w:rsid w:val="0069537B"/>
    <w:rsid w:val="006965EF"/>
    <w:rsid w:val="00696760"/>
    <w:rsid w:val="006A1286"/>
    <w:rsid w:val="006A1E29"/>
    <w:rsid w:val="006A2F00"/>
    <w:rsid w:val="006A3CE4"/>
    <w:rsid w:val="006A714B"/>
    <w:rsid w:val="006A7CAF"/>
    <w:rsid w:val="006B0A64"/>
    <w:rsid w:val="006B0BDC"/>
    <w:rsid w:val="006B1017"/>
    <w:rsid w:val="006B5964"/>
    <w:rsid w:val="006B76A5"/>
    <w:rsid w:val="006C2633"/>
    <w:rsid w:val="006C3C02"/>
    <w:rsid w:val="006C549A"/>
    <w:rsid w:val="006D03B6"/>
    <w:rsid w:val="006D1193"/>
    <w:rsid w:val="006D2363"/>
    <w:rsid w:val="006D2B7D"/>
    <w:rsid w:val="006D3399"/>
    <w:rsid w:val="006E1493"/>
    <w:rsid w:val="006E18CB"/>
    <w:rsid w:val="006E1A40"/>
    <w:rsid w:val="006E2C6A"/>
    <w:rsid w:val="006F04B7"/>
    <w:rsid w:val="006F14B9"/>
    <w:rsid w:val="006F1694"/>
    <w:rsid w:val="006F3152"/>
    <w:rsid w:val="006F3BCC"/>
    <w:rsid w:val="006F4F37"/>
    <w:rsid w:val="006F5B84"/>
    <w:rsid w:val="006F61B9"/>
    <w:rsid w:val="0070095F"/>
    <w:rsid w:val="00701BA6"/>
    <w:rsid w:val="00701D59"/>
    <w:rsid w:val="00701F50"/>
    <w:rsid w:val="00702514"/>
    <w:rsid w:val="00705E80"/>
    <w:rsid w:val="0071087F"/>
    <w:rsid w:val="007113AF"/>
    <w:rsid w:val="007128F2"/>
    <w:rsid w:val="00714826"/>
    <w:rsid w:val="007168F4"/>
    <w:rsid w:val="00716D50"/>
    <w:rsid w:val="00717C71"/>
    <w:rsid w:val="00721D92"/>
    <w:rsid w:val="00722784"/>
    <w:rsid w:val="00722AB7"/>
    <w:rsid w:val="00723A74"/>
    <w:rsid w:val="00723AE2"/>
    <w:rsid w:val="00724BEE"/>
    <w:rsid w:val="00726C56"/>
    <w:rsid w:val="00726E6C"/>
    <w:rsid w:val="00730387"/>
    <w:rsid w:val="0073207C"/>
    <w:rsid w:val="0073238B"/>
    <w:rsid w:val="00733055"/>
    <w:rsid w:val="00733A1C"/>
    <w:rsid w:val="00734E69"/>
    <w:rsid w:val="00735C99"/>
    <w:rsid w:val="00736F2E"/>
    <w:rsid w:val="00740034"/>
    <w:rsid w:val="00740595"/>
    <w:rsid w:val="00740FA3"/>
    <w:rsid w:val="00742684"/>
    <w:rsid w:val="00742B40"/>
    <w:rsid w:val="00743668"/>
    <w:rsid w:val="00747417"/>
    <w:rsid w:val="0075107A"/>
    <w:rsid w:val="00751AD5"/>
    <w:rsid w:val="0075335E"/>
    <w:rsid w:val="00754C99"/>
    <w:rsid w:val="0075538E"/>
    <w:rsid w:val="00756674"/>
    <w:rsid w:val="00760860"/>
    <w:rsid w:val="0076231E"/>
    <w:rsid w:val="00762EE4"/>
    <w:rsid w:val="00764844"/>
    <w:rsid w:val="0076770B"/>
    <w:rsid w:val="007677BF"/>
    <w:rsid w:val="00770821"/>
    <w:rsid w:val="007709F5"/>
    <w:rsid w:val="00771309"/>
    <w:rsid w:val="007732DE"/>
    <w:rsid w:val="00773C1A"/>
    <w:rsid w:val="00774870"/>
    <w:rsid w:val="00780D75"/>
    <w:rsid w:val="007812A1"/>
    <w:rsid w:val="00781D1C"/>
    <w:rsid w:val="00782F15"/>
    <w:rsid w:val="00783C33"/>
    <w:rsid w:val="0078419A"/>
    <w:rsid w:val="00786A7C"/>
    <w:rsid w:val="00790DF3"/>
    <w:rsid w:val="007926D1"/>
    <w:rsid w:val="007928AF"/>
    <w:rsid w:val="0079296C"/>
    <w:rsid w:val="00794244"/>
    <w:rsid w:val="00796902"/>
    <w:rsid w:val="00796C85"/>
    <w:rsid w:val="007A026A"/>
    <w:rsid w:val="007A7EDB"/>
    <w:rsid w:val="007B0E0F"/>
    <w:rsid w:val="007B1D1D"/>
    <w:rsid w:val="007B201B"/>
    <w:rsid w:val="007B5E66"/>
    <w:rsid w:val="007B730F"/>
    <w:rsid w:val="007B7423"/>
    <w:rsid w:val="007C0414"/>
    <w:rsid w:val="007C06DD"/>
    <w:rsid w:val="007C0A84"/>
    <w:rsid w:val="007C0ADD"/>
    <w:rsid w:val="007C0E80"/>
    <w:rsid w:val="007C157F"/>
    <w:rsid w:val="007C3032"/>
    <w:rsid w:val="007C4C10"/>
    <w:rsid w:val="007C60B2"/>
    <w:rsid w:val="007C7305"/>
    <w:rsid w:val="007D0042"/>
    <w:rsid w:val="007D1211"/>
    <w:rsid w:val="007D153E"/>
    <w:rsid w:val="007D18EB"/>
    <w:rsid w:val="007D1E82"/>
    <w:rsid w:val="007D293F"/>
    <w:rsid w:val="007D2CAE"/>
    <w:rsid w:val="007D4178"/>
    <w:rsid w:val="007D47CF"/>
    <w:rsid w:val="007D4ABB"/>
    <w:rsid w:val="007D4C97"/>
    <w:rsid w:val="007D54DB"/>
    <w:rsid w:val="007D7676"/>
    <w:rsid w:val="007E0E5B"/>
    <w:rsid w:val="007E26F9"/>
    <w:rsid w:val="007E348B"/>
    <w:rsid w:val="007E52A9"/>
    <w:rsid w:val="007E6041"/>
    <w:rsid w:val="007E671C"/>
    <w:rsid w:val="007E7044"/>
    <w:rsid w:val="007F0F3B"/>
    <w:rsid w:val="007F1477"/>
    <w:rsid w:val="007F29FB"/>
    <w:rsid w:val="007F5EFC"/>
    <w:rsid w:val="008010E4"/>
    <w:rsid w:val="00801CA2"/>
    <w:rsid w:val="008042D1"/>
    <w:rsid w:val="00804BF8"/>
    <w:rsid w:val="00810ACA"/>
    <w:rsid w:val="00810BA9"/>
    <w:rsid w:val="00811A44"/>
    <w:rsid w:val="00811D32"/>
    <w:rsid w:val="00811FEA"/>
    <w:rsid w:val="0081206A"/>
    <w:rsid w:val="00812359"/>
    <w:rsid w:val="008123C2"/>
    <w:rsid w:val="0081343C"/>
    <w:rsid w:val="00814E8D"/>
    <w:rsid w:val="0081537C"/>
    <w:rsid w:val="008164A7"/>
    <w:rsid w:val="00817DB0"/>
    <w:rsid w:val="00820448"/>
    <w:rsid w:val="008220A9"/>
    <w:rsid w:val="00824523"/>
    <w:rsid w:val="008256BB"/>
    <w:rsid w:val="008260CC"/>
    <w:rsid w:val="00826E1C"/>
    <w:rsid w:val="008321D2"/>
    <w:rsid w:val="0083436C"/>
    <w:rsid w:val="0083473A"/>
    <w:rsid w:val="00834FC9"/>
    <w:rsid w:val="00835DFA"/>
    <w:rsid w:val="00837823"/>
    <w:rsid w:val="00841CC8"/>
    <w:rsid w:val="00843A11"/>
    <w:rsid w:val="0084570C"/>
    <w:rsid w:val="00845754"/>
    <w:rsid w:val="00845A32"/>
    <w:rsid w:val="008469C0"/>
    <w:rsid w:val="00847ED9"/>
    <w:rsid w:val="00851CB8"/>
    <w:rsid w:val="008538AB"/>
    <w:rsid w:val="00856114"/>
    <w:rsid w:val="00860C6B"/>
    <w:rsid w:val="0086294C"/>
    <w:rsid w:val="008632DF"/>
    <w:rsid w:val="00865220"/>
    <w:rsid w:val="00866386"/>
    <w:rsid w:val="00867453"/>
    <w:rsid w:val="00870647"/>
    <w:rsid w:val="0087182A"/>
    <w:rsid w:val="00871C1A"/>
    <w:rsid w:val="008721F4"/>
    <w:rsid w:val="008728E3"/>
    <w:rsid w:val="008748E3"/>
    <w:rsid w:val="008749BD"/>
    <w:rsid w:val="008750D1"/>
    <w:rsid w:val="008756A8"/>
    <w:rsid w:val="00875BF4"/>
    <w:rsid w:val="00875FB3"/>
    <w:rsid w:val="00877E02"/>
    <w:rsid w:val="00880512"/>
    <w:rsid w:val="00882CCB"/>
    <w:rsid w:val="00883B4E"/>
    <w:rsid w:val="008846ED"/>
    <w:rsid w:val="00885A2C"/>
    <w:rsid w:val="00890627"/>
    <w:rsid w:val="008914C2"/>
    <w:rsid w:val="00891C8E"/>
    <w:rsid w:val="00892BC7"/>
    <w:rsid w:val="00893C2A"/>
    <w:rsid w:val="00894CDC"/>
    <w:rsid w:val="008961F0"/>
    <w:rsid w:val="008A09DE"/>
    <w:rsid w:val="008A28A2"/>
    <w:rsid w:val="008A593B"/>
    <w:rsid w:val="008B1E94"/>
    <w:rsid w:val="008B4BCA"/>
    <w:rsid w:val="008B4CE8"/>
    <w:rsid w:val="008B6143"/>
    <w:rsid w:val="008B6B82"/>
    <w:rsid w:val="008B77E0"/>
    <w:rsid w:val="008C1841"/>
    <w:rsid w:val="008C26C5"/>
    <w:rsid w:val="008C2853"/>
    <w:rsid w:val="008C2B37"/>
    <w:rsid w:val="008C5347"/>
    <w:rsid w:val="008C548A"/>
    <w:rsid w:val="008C5521"/>
    <w:rsid w:val="008C7F7C"/>
    <w:rsid w:val="008D0911"/>
    <w:rsid w:val="008D2721"/>
    <w:rsid w:val="008D2AD4"/>
    <w:rsid w:val="008D4121"/>
    <w:rsid w:val="008D513C"/>
    <w:rsid w:val="008D6462"/>
    <w:rsid w:val="008D77E6"/>
    <w:rsid w:val="008D7920"/>
    <w:rsid w:val="008E04D0"/>
    <w:rsid w:val="008E1E86"/>
    <w:rsid w:val="008E23B5"/>
    <w:rsid w:val="008E2951"/>
    <w:rsid w:val="008E372E"/>
    <w:rsid w:val="008E5CDE"/>
    <w:rsid w:val="008F3404"/>
    <w:rsid w:val="008F45AA"/>
    <w:rsid w:val="008F4D59"/>
    <w:rsid w:val="008F51DE"/>
    <w:rsid w:val="008F7071"/>
    <w:rsid w:val="00903060"/>
    <w:rsid w:val="009031D3"/>
    <w:rsid w:val="00904334"/>
    <w:rsid w:val="00904778"/>
    <w:rsid w:val="00904F16"/>
    <w:rsid w:val="00905671"/>
    <w:rsid w:val="009110E3"/>
    <w:rsid w:val="009146DC"/>
    <w:rsid w:val="00915E5E"/>
    <w:rsid w:val="00916879"/>
    <w:rsid w:val="00916CF6"/>
    <w:rsid w:val="0092021A"/>
    <w:rsid w:val="00920D8E"/>
    <w:rsid w:val="0092190C"/>
    <w:rsid w:val="0092193E"/>
    <w:rsid w:val="00921A4F"/>
    <w:rsid w:val="009227D1"/>
    <w:rsid w:val="009249B1"/>
    <w:rsid w:val="009254A2"/>
    <w:rsid w:val="009265F4"/>
    <w:rsid w:val="00926DB9"/>
    <w:rsid w:val="009305BA"/>
    <w:rsid w:val="00931A04"/>
    <w:rsid w:val="009342DD"/>
    <w:rsid w:val="009348CC"/>
    <w:rsid w:val="009360B3"/>
    <w:rsid w:val="009362D5"/>
    <w:rsid w:val="009370D8"/>
    <w:rsid w:val="009375CA"/>
    <w:rsid w:val="00937A72"/>
    <w:rsid w:val="00941D6C"/>
    <w:rsid w:val="00942C9E"/>
    <w:rsid w:val="009433C4"/>
    <w:rsid w:val="00943D04"/>
    <w:rsid w:val="0094531E"/>
    <w:rsid w:val="0094587C"/>
    <w:rsid w:val="0094685E"/>
    <w:rsid w:val="0094696F"/>
    <w:rsid w:val="0095309D"/>
    <w:rsid w:val="0095530B"/>
    <w:rsid w:val="009557FD"/>
    <w:rsid w:val="00957544"/>
    <w:rsid w:val="00960507"/>
    <w:rsid w:val="00961DB6"/>
    <w:rsid w:val="00962A6A"/>
    <w:rsid w:val="00964A90"/>
    <w:rsid w:val="00966002"/>
    <w:rsid w:val="00966B06"/>
    <w:rsid w:val="00970428"/>
    <w:rsid w:val="0097045C"/>
    <w:rsid w:val="00971F5F"/>
    <w:rsid w:val="00975768"/>
    <w:rsid w:val="00975A05"/>
    <w:rsid w:val="00976312"/>
    <w:rsid w:val="00976552"/>
    <w:rsid w:val="0097696F"/>
    <w:rsid w:val="0097706B"/>
    <w:rsid w:val="00977654"/>
    <w:rsid w:val="00977D83"/>
    <w:rsid w:val="00977EC9"/>
    <w:rsid w:val="00980A45"/>
    <w:rsid w:val="009813E7"/>
    <w:rsid w:val="00981B2F"/>
    <w:rsid w:val="00982EAD"/>
    <w:rsid w:val="009850B0"/>
    <w:rsid w:val="009903EA"/>
    <w:rsid w:val="00991737"/>
    <w:rsid w:val="00993012"/>
    <w:rsid w:val="00993137"/>
    <w:rsid w:val="009938C3"/>
    <w:rsid w:val="0099421F"/>
    <w:rsid w:val="00994E0B"/>
    <w:rsid w:val="00995642"/>
    <w:rsid w:val="009957DB"/>
    <w:rsid w:val="00997718"/>
    <w:rsid w:val="009A269F"/>
    <w:rsid w:val="009A3AFE"/>
    <w:rsid w:val="009A472C"/>
    <w:rsid w:val="009A5739"/>
    <w:rsid w:val="009A7ED6"/>
    <w:rsid w:val="009B0A8F"/>
    <w:rsid w:val="009B18D6"/>
    <w:rsid w:val="009B2231"/>
    <w:rsid w:val="009B6665"/>
    <w:rsid w:val="009C0B1D"/>
    <w:rsid w:val="009C0CA5"/>
    <w:rsid w:val="009C1D3E"/>
    <w:rsid w:val="009C4753"/>
    <w:rsid w:val="009C5108"/>
    <w:rsid w:val="009C57E7"/>
    <w:rsid w:val="009C60E2"/>
    <w:rsid w:val="009C620A"/>
    <w:rsid w:val="009C650D"/>
    <w:rsid w:val="009C6DC3"/>
    <w:rsid w:val="009D14C6"/>
    <w:rsid w:val="009D1674"/>
    <w:rsid w:val="009D1ADE"/>
    <w:rsid w:val="009D1E6A"/>
    <w:rsid w:val="009D20F9"/>
    <w:rsid w:val="009D2D5C"/>
    <w:rsid w:val="009D3902"/>
    <w:rsid w:val="009D4057"/>
    <w:rsid w:val="009D5114"/>
    <w:rsid w:val="009D5C04"/>
    <w:rsid w:val="009D6290"/>
    <w:rsid w:val="009D7707"/>
    <w:rsid w:val="009D7CEE"/>
    <w:rsid w:val="009E374C"/>
    <w:rsid w:val="009E46DE"/>
    <w:rsid w:val="009E5F91"/>
    <w:rsid w:val="009E7E5F"/>
    <w:rsid w:val="009F0AE7"/>
    <w:rsid w:val="009F17D2"/>
    <w:rsid w:val="009F1CA9"/>
    <w:rsid w:val="009F28F8"/>
    <w:rsid w:val="009F58A0"/>
    <w:rsid w:val="009F5AEB"/>
    <w:rsid w:val="009F6A88"/>
    <w:rsid w:val="009F6A95"/>
    <w:rsid w:val="009F7492"/>
    <w:rsid w:val="00A01130"/>
    <w:rsid w:val="00A0182E"/>
    <w:rsid w:val="00A03095"/>
    <w:rsid w:val="00A03122"/>
    <w:rsid w:val="00A03AF6"/>
    <w:rsid w:val="00A0529F"/>
    <w:rsid w:val="00A10E08"/>
    <w:rsid w:val="00A119F2"/>
    <w:rsid w:val="00A11FA4"/>
    <w:rsid w:val="00A160AA"/>
    <w:rsid w:val="00A17C34"/>
    <w:rsid w:val="00A222AD"/>
    <w:rsid w:val="00A2241E"/>
    <w:rsid w:val="00A228CE"/>
    <w:rsid w:val="00A22DA9"/>
    <w:rsid w:val="00A23C1D"/>
    <w:rsid w:val="00A2629C"/>
    <w:rsid w:val="00A304B5"/>
    <w:rsid w:val="00A308D4"/>
    <w:rsid w:val="00A30A4F"/>
    <w:rsid w:val="00A31BB1"/>
    <w:rsid w:val="00A32188"/>
    <w:rsid w:val="00A3403F"/>
    <w:rsid w:val="00A34ABB"/>
    <w:rsid w:val="00A36C22"/>
    <w:rsid w:val="00A40022"/>
    <w:rsid w:val="00A402A4"/>
    <w:rsid w:val="00A404C2"/>
    <w:rsid w:val="00A40575"/>
    <w:rsid w:val="00A460F1"/>
    <w:rsid w:val="00A46A68"/>
    <w:rsid w:val="00A47094"/>
    <w:rsid w:val="00A47545"/>
    <w:rsid w:val="00A51A3F"/>
    <w:rsid w:val="00A540B6"/>
    <w:rsid w:val="00A572A0"/>
    <w:rsid w:val="00A57A9C"/>
    <w:rsid w:val="00A60D6B"/>
    <w:rsid w:val="00A63817"/>
    <w:rsid w:val="00A651D4"/>
    <w:rsid w:val="00A6540B"/>
    <w:rsid w:val="00A66263"/>
    <w:rsid w:val="00A66CB1"/>
    <w:rsid w:val="00A67129"/>
    <w:rsid w:val="00A72154"/>
    <w:rsid w:val="00A729A0"/>
    <w:rsid w:val="00A72A5F"/>
    <w:rsid w:val="00A753A0"/>
    <w:rsid w:val="00A769AB"/>
    <w:rsid w:val="00A769C6"/>
    <w:rsid w:val="00A776CC"/>
    <w:rsid w:val="00A816DF"/>
    <w:rsid w:val="00A82C99"/>
    <w:rsid w:val="00A855D6"/>
    <w:rsid w:val="00A85743"/>
    <w:rsid w:val="00A86876"/>
    <w:rsid w:val="00A87FCD"/>
    <w:rsid w:val="00A903C5"/>
    <w:rsid w:val="00A92013"/>
    <w:rsid w:val="00A92228"/>
    <w:rsid w:val="00A92A09"/>
    <w:rsid w:val="00A92CE3"/>
    <w:rsid w:val="00A934A7"/>
    <w:rsid w:val="00A93CCC"/>
    <w:rsid w:val="00A96352"/>
    <w:rsid w:val="00AA013A"/>
    <w:rsid w:val="00AA045D"/>
    <w:rsid w:val="00AA237B"/>
    <w:rsid w:val="00AA376E"/>
    <w:rsid w:val="00AA3BB9"/>
    <w:rsid w:val="00AA426F"/>
    <w:rsid w:val="00AA4E00"/>
    <w:rsid w:val="00AA7898"/>
    <w:rsid w:val="00AB1292"/>
    <w:rsid w:val="00AB37CC"/>
    <w:rsid w:val="00AB37ED"/>
    <w:rsid w:val="00AB3A77"/>
    <w:rsid w:val="00AB3DCA"/>
    <w:rsid w:val="00AB41E8"/>
    <w:rsid w:val="00AB5F81"/>
    <w:rsid w:val="00AB653B"/>
    <w:rsid w:val="00AC0167"/>
    <w:rsid w:val="00AC0D73"/>
    <w:rsid w:val="00AC2771"/>
    <w:rsid w:val="00AC27F7"/>
    <w:rsid w:val="00AC3438"/>
    <w:rsid w:val="00AC35A0"/>
    <w:rsid w:val="00AC3D87"/>
    <w:rsid w:val="00AC3F21"/>
    <w:rsid w:val="00AC608B"/>
    <w:rsid w:val="00AC66F0"/>
    <w:rsid w:val="00AC7C3D"/>
    <w:rsid w:val="00AC7F1B"/>
    <w:rsid w:val="00AD01D3"/>
    <w:rsid w:val="00AD04FE"/>
    <w:rsid w:val="00AD23B9"/>
    <w:rsid w:val="00AD48F2"/>
    <w:rsid w:val="00AD522A"/>
    <w:rsid w:val="00AD79A4"/>
    <w:rsid w:val="00AE026F"/>
    <w:rsid w:val="00AE1C1A"/>
    <w:rsid w:val="00AE2099"/>
    <w:rsid w:val="00AE221A"/>
    <w:rsid w:val="00AE240A"/>
    <w:rsid w:val="00AE3653"/>
    <w:rsid w:val="00AE3E1D"/>
    <w:rsid w:val="00AE5E62"/>
    <w:rsid w:val="00AF0832"/>
    <w:rsid w:val="00AF0DD2"/>
    <w:rsid w:val="00AF1C9C"/>
    <w:rsid w:val="00AF27F5"/>
    <w:rsid w:val="00AF5974"/>
    <w:rsid w:val="00AF6457"/>
    <w:rsid w:val="00AF6853"/>
    <w:rsid w:val="00B0246D"/>
    <w:rsid w:val="00B0303C"/>
    <w:rsid w:val="00B065CB"/>
    <w:rsid w:val="00B07458"/>
    <w:rsid w:val="00B07E97"/>
    <w:rsid w:val="00B116FD"/>
    <w:rsid w:val="00B11D88"/>
    <w:rsid w:val="00B12B1F"/>
    <w:rsid w:val="00B13E57"/>
    <w:rsid w:val="00B171DE"/>
    <w:rsid w:val="00B17B6C"/>
    <w:rsid w:val="00B22231"/>
    <w:rsid w:val="00B22CF9"/>
    <w:rsid w:val="00B24A15"/>
    <w:rsid w:val="00B24E66"/>
    <w:rsid w:val="00B27ED9"/>
    <w:rsid w:val="00B27EF4"/>
    <w:rsid w:val="00B304DD"/>
    <w:rsid w:val="00B31454"/>
    <w:rsid w:val="00B32597"/>
    <w:rsid w:val="00B32996"/>
    <w:rsid w:val="00B33888"/>
    <w:rsid w:val="00B35CF7"/>
    <w:rsid w:val="00B35E6E"/>
    <w:rsid w:val="00B41E19"/>
    <w:rsid w:val="00B42257"/>
    <w:rsid w:val="00B45DC4"/>
    <w:rsid w:val="00B51B16"/>
    <w:rsid w:val="00B521D4"/>
    <w:rsid w:val="00B52372"/>
    <w:rsid w:val="00B54720"/>
    <w:rsid w:val="00B54AFB"/>
    <w:rsid w:val="00B55CB6"/>
    <w:rsid w:val="00B55CED"/>
    <w:rsid w:val="00B5731E"/>
    <w:rsid w:val="00B60BB6"/>
    <w:rsid w:val="00B61F22"/>
    <w:rsid w:val="00B62D00"/>
    <w:rsid w:val="00B62DC1"/>
    <w:rsid w:val="00B64E05"/>
    <w:rsid w:val="00B709BC"/>
    <w:rsid w:val="00B719B5"/>
    <w:rsid w:val="00B7381F"/>
    <w:rsid w:val="00B75A56"/>
    <w:rsid w:val="00B766B8"/>
    <w:rsid w:val="00B77868"/>
    <w:rsid w:val="00B803F1"/>
    <w:rsid w:val="00B8085C"/>
    <w:rsid w:val="00B81986"/>
    <w:rsid w:val="00B83944"/>
    <w:rsid w:val="00B83CA0"/>
    <w:rsid w:val="00B83D57"/>
    <w:rsid w:val="00B84296"/>
    <w:rsid w:val="00B85987"/>
    <w:rsid w:val="00B86DAF"/>
    <w:rsid w:val="00B905AE"/>
    <w:rsid w:val="00B909CE"/>
    <w:rsid w:val="00B94849"/>
    <w:rsid w:val="00B97BB1"/>
    <w:rsid w:val="00BA02D9"/>
    <w:rsid w:val="00BA1A71"/>
    <w:rsid w:val="00BA1C2E"/>
    <w:rsid w:val="00BA2125"/>
    <w:rsid w:val="00BA359C"/>
    <w:rsid w:val="00BA49FC"/>
    <w:rsid w:val="00BA557E"/>
    <w:rsid w:val="00BA5F1E"/>
    <w:rsid w:val="00BA6978"/>
    <w:rsid w:val="00BA7AFA"/>
    <w:rsid w:val="00BB10F6"/>
    <w:rsid w:val="00BB32B6"/>
    <w:rsid w:val="00BB3305"/>
    <w:rsid w:val="00BB33FF"/>
    <w:rsid w:val="00BB50D8"/>
    <w:rsid w:val="00BB5362"/>
    <w:rsid w:val="00BB5654"/>
    <w:rsid w:val="00BB6833"/>
    <w:rsid w:val="00BB753E"/>
    <w:rsid w:val="00BB7961"/>
    <w:rsid w:val="00BC15BC"/>
    <w:rsid w:val="00BC2BF0"/>
    <w:rsid w:val="00BC581B"/>
    <w:rsid w:val="00BC5EB7"/>
    <w:rsid w:val="00BD15E2"/>
    <w:rsid w:val="00BD2EA5"/>
    <w:rsid w:val="00BD60F5"/>
    <w:rsid w:val="00BE0128"/>
    <w:rsid w:val="00BE09D5"/>
    <w:rsid w:val="00BE102E"/>
    <w:rsid w:val="00BE3B8D"/>
    <w:rsid w:val="00BE572F"/>
    <w:rsid w:val="00BE7D70"/>
    <w:rsid w:val="00BF0517"/>
    <w:rsid w:val="00BF1C3D"/>
    <w:rsid w:val="00BF3898"/>
    <w:rsid w:val="00BF4895"/>
    <w:rsid w:val="00BF6F16"/>
    <w:rsid w:val="00C01FE3"/>
    <w:rsid w:val="00C03236"/>
    <w:rsid w:val="00C034E4"/>
    <w:rsid w:val="00C03723"/>
    <w:rsid w:val="00C03F8F"/>
    <w:rsid w:val="00C0494B"/>
    <w:rsid w:val="00C04A05"/>
    <w:rsid w:val="00C06EB1"/>
    <w:rsid w:val="00C06F86"/>
    <w:rsid w:val="00C076D0"/>
    <w:rsid w:val="00C10AB8"/>
    <w:rsid w:val="00C10B84"/>
    <w:rsid w:val="00C10C8C"/>
    <w:rsid w:val="00C1147F"/>
    <w:rsid w:val="00C12054"/>
    <w:rsid w:val="00C1407B"/>
    <w:rsid w:val="00C14EF9"/>
    <w:rsid w:val="00C155B7"/>
    <w:rsid w:val="00C15BE6"/>
    <w:rsid w:val="00C164C0"/>
    <w:rsid w:val="00C164EE"/>
    <w:rsid w:val="00C238B4"/>
    <w:rsid w:val="00C23D77"/>
    <w:rsid w:val="00C266D6"/>
    <w:rsid w:val="00C2774F"/>
    <w:rsid w:val="00C30168"/>
    <w:rsid w:val="00C31B00"/>
    <w:rsid w:val="00C31F4B"/>
    <w:rsid w:val="00C333F3"/>
    <w:rsid w:val="00C33536"/>
    <w:rsid w:val="00C343B4"/>
    <w:rsid w:val="00C35C4B"/>
    <w:rsid w:val="00C36282"/>
    <w:rsid w:val="00C3734A"/>
    <w:rsid w:val="00C37D85"/>
    <w:rsid w:val="00C43CFD"/>
    <w:rsid w:val="00C4567A"/>
    <w:rsid w:val="00C461D2"/>
    <w:rsid w:val="00C52278"/>
    <w:rsid w:val="00C5410F"/>
    <w:rsid w:val="00C5472F"/>
    <w:rsid w:val="00C548CF"/>
    <w:rsid w:val="00C5530A"/>
    <w:rsid w:val="00C57287"/>
    <w:rsid w:val="00C61922"/>
    <w:rsid w:val="00C626E4"/>
    <w:rsid w:val="00C64204"/>
    <w:rsid w:val="00C664D9"/>
    <w:rsid w:val="00C66B6F"/>
    <w:rsid w:val="00C67C81"/>
    <w:rsid w:val="00C70B65"/>
    <w:rsid w:val="00C731AF"/>
    <w:rsid w:val="00C7674F"/>
    <w:rsid w:val="00C80360"/>
    <w:rsid w:val="00C81740"/>
    <w:rsid w:val="00C822FE"/>
    <w:rsid w:val="00C853B0"/>
    <w:rsid w:val="00C85DE0"/>
    <w:rsid w:val="00C87D40"/>
    <w:rsid w:val="00C90D4B"/>
    <w:rsid w:val="00C92378"/>
    <w:rsid w:val="00C9352E"/>
    <w:rsid w:val="00C943E4"/>
    <w:rsid w:val="00C95E23"/>
    <w:rsid w:val="00C95EBE"/>
    <w:rsid w:val="00CA2B04"/>
    <w:rsid w:val="00CA2CEB"/>
    <w:rsid w:val="00CA5A9E"/>
    <w:rsid w:val="00CA5B12"/>
    <w:rsid w:val="00CB2572"/>
    <w:rsid w:val="00CB356C"/>
    <w:rsid w:val="00CC0C5E"/>
    <w:rsid w:val="00CC104E"/>
    <w:rsid w:val="00CC634B"/>
    <w:rsid w:val="00CC667D"/>
    <w:rsid w:val="00CC6941"/>
    <w:rsid w:val="00CC710D"/>
    <w:rsid w:val="00CC7CE0"/>
    <w:rsid w:val="00CD02B6"/>
    <w:rsid w:val="00CD1084"/>
    <w:rsid w:val="00CD337F"/>
    <w:rsid w:val="00CD49A6"/>
    <w:rsid w:val="00CD619D"/>
    <w:rsid w:val="00CD6BA8"/>
    <w:rsid w:val="00CD72BB"/>
    <w:rsid w:val="00CD7BF3"/>
    <w:rsid w:val="00CE05B4"/>
    <w:rsid w:val="00CE0AFD"/>
    <w:rsid w:val="00CE1C22"/>
    <w:rsid w:val="00CE3927"/>
    <w:rsid w:val="00CE501C"/>
    <w:rsid w:val="00CE58F0"/>
    <w:rsid w:val="00CE5A0E"/>
    <w:rsid w:val="00CE6AE5"/>
    <w:rsid w:val="00CE76D0"/>
    <w:rsid w:val="00CF0DB4"/>
    <w:rsid w:val="00CF19B0"/>
    <w:rsid w:val="00CF1D42"/>
    <w:rsid w:val="00CF218A"/>
    <w:rsid w:val="00CF2AF7"/>
    <w:rsid w:val="00CF2F84"/>
    <w:rsid w:val="00CF3383"/>
    <w:rsid w:val="00CF3F53"/>
    <w:rsid w:val="00CF42AA"/>
    <w:rsid w:val="00CF6709"/>
    <w:rsid w:val="00CF692A"/>
    <w:rsid w:val="00CF7A26"/>
    <w:rsid w:val="00D0150B"/>
    <w:rsid w:val="00D04579"/>
    <w:rsid w:val="00D04A3F"/>
    <w:rsid w:val="00D052E7"/>
    <w:rsid w:val="00D06522"/>
    <w:rsid w:val="00D077CB"/>
    <w:rsid w:val="00D0793A"/>
    <w:rsid w:val="00D105A6"/>
    <w:rsid w:val="00D10C4F"/>
    <w:rsid w:val="00D10CFA"/>
    <w:rsid w:val="00D119BB"/>
    <w:rsid w:val="00D11EBE"/>
    <w:rsid w:val="00D12D02"/>
    <w:rsid w:val="00D12D07"/>
    <w:rsid w:val="00D13AC7"/>
    <w:rsid w:val="00D14D29"/>
    <w:rsid w:val="00D14F61"/>
    <w:rsid w:val="00D15914"/>
    <w:rsid w:val="00D20A46"/>
    <w:rsid w:val="00D20F06"/>
    <w:rsid w:val="00D215B2"/>
    <w:rsid w:val="00D22183"/>
    <w:rsid w:val="00D23415"/>
    <w:rsid w:val="00D23EDB"/>
    <w:rsid w:val="00D247A3"/>
    <w:rsid w:val="00D24F0D"/>
    <w:rsid w:val="00D25355"/>
    <w:rsid w:val="00D2572B"/>
    <w:rsid w:val="00D25833"/>
    <w:rsid w:val="00D27E05"/>
    <w:rsid w:val="00D30A0F"/>
    <w:rsid w:val="00D30C82"/>
    <w:rsid w:val="00D319B8"/>
    <w:rsid w:val="00D33280"/>
    <w:rsid w:val="00D333D0"/>
    <w:rsid w:val="00D3401D"/>
    <w:rsid w:val="00D353A6"/>
    <w:rsid w:val="00D35740"/>
    <w:rsid w:val="00D40926"/>
    <w:rsid w:val="00D42C87"/>
    <w:rsid w:val="00D446ED"/>
    <w:rsid w:val="00D45017"/>
    <w:rsid w:val="00D46544"/>
    <w:rsid w:val="00D4693B"/>
    <w:rsid w:val="00D46D5E"/>
    <w:rsid w:val="00D5135E"/>
    <w:rsid w:val="00D5434C"/>
    <w:rsid w:val="00D545F4"/>
    <w:rsid w:val="00D57C42"/>
    <w:rsid w:val="00D6131A"/>
    <w:rsid w:val="00D62718"/>
    <w:rsid w:val="00D62F07"/>
    <w:rsid w:val="00D63A5F"/>
    <w:rsid w:val="00D642D5"/>
    <w:rsid w:val="00D64782"/>
    <w:rsid w:val="00D6621C"/>
    <w:rsid w:val="00D67660"/>
    <w:rsid w:val="00D6778E"/>
    <w:rsid w:val="00D709B5"/>
    <w:rsid w:val="00D71797"/>
    <w:rsid w:val="00D740D4"/>
    <w:rsid w:val="00D74892"/>
    <w:rsid w:val="00D7739F"/>
    <w:rsid w:val="00D825A1"/>
    <w:rsid w:val="00D82FD1"/>
    <w:rsid w:val="00D8400B"/>
    <w:rsid w:val="00D84367"/>
    <w:rsid w:val="00D90077"/>
    <w:rsid w:val="00D90DA1"/>
    <w:rsid w:val="00D93834"/>
    <w:rsid w:val="00D93C55"/>
    <w:rsid w:val="00D9414D"/>
    <w:rsid w:val="00DA1052"/>
    <w:rsid w:val="00DA322F"/>
    <w:rsid w:val="00DA4331"/>
    <w:rsid w:val="00DA5FE8"/>
    <w:rsid w:val="00DB35E2"/>
    <w:rsid w:val="00DB76A7"/>
    <w:rsid w:val="00DB7E82"/>
    <w:rsid w:val="00DC053B"/>
    <w:rsid w:val="00DC060B"/>
    <w:rsid w:val="00DC0610"/>
    <w:rsid w:val="00DC2FDA"/>
    <w:rsid w:val="00DC37F3"/>
    <w:rsid w:val="00DC4092"/>
    <w:rsid w:val="00DC433C"/>
    <w:rsid w:val="00DC4872"/>
    <w:rsid w:val="00DC4C87"/>
    <w:rsid w:val="00DC5C82"/>
    <w:rsid w:val="00DC76FD"/>
    <w:rsid w:val="00DD0B4B"/>
    <w:rsid w:val="00DD0FAF"/>
    <w:rsid w:val="00DD2125"/>
    <w:rsid w:val="00DD2C67"/>
    <w:rsid w:val="00DD47FB"/>
    <w:rsid w:val="00DD63A7"/>
    <w:rsid w:val="00DD6DDA"/>
    <w:rsid w:val="00DD7ABD"/>
    <w:rsid w:val="00DE094A"/>
    <w:rsid w:val="00DE14C9"/>
    <w:rsid w:val="00DE1C38"/>
    <w:rsid w:val="00DE1D54"/>
    <w:rsid w:val="00DE3B06"/>
    <w:rsid w:val="00DE5F87"/>
    <w:rsid w:val="00DE7F05"/>
    <w:rsid w:val="00DF0EA0"/>
    <w:rsid w:val="00DF2364"/>
    <w:rsid w:val="00DF2983"/>
    <w:rsid w:val="00DF4619"/>
    <w:rsid w:val="00DF4FBD"/>
    <w:rsid w:val="00DF6ED0"/>
    <w:rsid w:val="00DF7FD9"/>
    <w:rsid w:val="00E01741"/>
    <w:rsid w:val="00E01BA2"/>
    <w:rsid w:val="00E01E67"/>
    <w:rsid w:val="00E0378A"/>
    <w:rsid w:val="00E05383"/>
    <w:rsid w:val="00E05C4F"/>
    <w:rsid w:val="00E06FC6"/>
    <w:rsid w:val="00E070AC"/>
    <w:rsid w:val="00E0775C"/>
    <w:rsid w:val="00E1001E"/>
    <w:rsid w:val="00E1180A"/>
    <w:rsid w:val="00E12191"/>
    <w:rsid w:val="00E1306D"/>
    <w:rsid w:val="00E15212"/>
    <w:rsid w:val="00E1608F"/>
    <w:rsid w:val="00E1773C"/>
    <w:rsid w:val="00E17E96"/>
    <w:rsid w:val="00E20283"/>
    <w:rsid w:val="00E205DE"/>
    <w:rsid w:val="00E207E4"/>
    <w:rsid w:val="00E20F56"/>
    <w:rsid w:val="00E21C30"/>
    <w:rsid w:val="00E23284"/>
    <w:rsid w:val="00E235A4"/>
    <w:rsid w:val="00E24A7A"/>
    <w:rsid w:val="00E25175"/>
    <w:rsid w:val="00E263F3"/>
    <w:rsid w:val="00E31FB3"/>
    <w:rsid w:val="00E330E4"/>
    <w:rsid w:val="00E332BE"/>
    <w:rsid w:val="00E35447"/>
    <w:rsid w:val="00E36B18"/>
    <w:rsid w:val="00E37EB1"/>
    <w:rsid w:val="00E41639"/>
    <w:rsid w:val="00E41697"/>
    <w:rsid w:val="00E43033"/>
    <w:rsid w:val="00E43392"/>
    <w:rsid w:val="00E4386E"/>
    <w:rsid w:val="00E43EE2"/>
    <w:rsid w:val="00E45A72"/>
    <w:rsid w:val="00E465B4"/>
    <w:rsid w:val="00E502F6"/>
    <w:rsid w:val="00E535C2"/>
    <w:rsid w:val="00E568EE"/>
    <w:rsid w:val="00E56B18"/>
    <w:rsid w:val="00E56E3C"/>
    <w:rsid w:val="00E577AF"/>
    <w:rsid w:val="00E607E1"/>
    <w:rsid w:val="00E614D1"/>
    <w:rsid w:val="00E622A6"/>
    <w:rsid w:val="00E64284"/>
    <w:rsid w:val="00E6429D"/>
    <w:rsid w:val="00E67EAE"/>
    <w:rsid w:val="00E708C8"/>
    <w:rsid w:val="00E726BC"/>
    <w:rsid w:val="00E72BEF"/>
    <w:rsid w:val="00E73720"/>
    <w:rsid w:val="00E738E7"/>
    <w:rsid w:val="00E7402D"/>
    <w:rsid w:val="00E74EE8"/>
    <w:rsid w:val="00E764D7"/>
    <w:rsid w:val="00E80588"/>
    <w:rsid w:val="00E8139E"/>
    <w:rsid w:val="00E82874"/>
    <w:rsid w:val="00E836CC"/>
    <w:rsid w:val="00E851AA"/>
    <w:rsid w:val="00E87937"/>
    <w:rsid w:val="00E87CD5"/>
    <w:rsid w:val="00E900A2"/>
    <w:rsid w:val="00E90E52"/>
    <w:rsid w:val="00E9184E"/>
    <w:rsid w:val="00EA08C0"/>
    <w:rsid w:val="00EA11A6"/>
    <w:rsid w:val="00EA13DC"/>
    <w:rsid w:val="00EA2CEA"/>
    <w:rsid w:val="00EA3BB4"/>
    <w:rsid w:val="00EA537F"/>
    <w:rsid w:val="00EA5560"/>
    <w:rsid w:val="00EA6856"/>
    <w:rsid w:val="00EB0D47"/>
    <w:rsid w:val="00EB0E2C"/>
    <w:rsid w:val="00EB20EB"/>
    <w:rsid w:val="00EB29C5"/>
    <w:rsid w:val="00EB333A"/>
    <w:rsid w:val="00EB4139"/>
    <w:rsid w:val="00EB417A"/>
    <w:rsid w:val="00EB4217"/>
    <w:rsid w:val="00EB4EA5"/>
    <w:rsid w:val="00EB5318"/>
    <w:rsid w:val="00EB6A5D"/>
    <w:rsid w:val="00EB6DE6"/>
    <w:rsid w:val="00EB7754"/>
    <w:rsid w:val="00EB78DA"/>
    <w:rsid w:val="00EB7969"/>
    <w:rsid w:val="00EC013C"/>
    <w:rsid w:val="00EC0F6B"/>
    <w:rsid w:val="00EC1420"/>
    <w:rsid w:val="00EC27AF"/>
    <w:rsid w:val="00EC32B8"/>
    <w:rsid w:val="00ED0112"/>
    <w:rsid w:val="00ED1292"/>
    <w:rsid w:val="00ED13B1"/>
    <w:rsid w:val="00ED1C28"/>
    <w:rsid w:val="00ED288F"/>
    <w:rsid w:val="00ED2BA3"/>
    <w:rsid w:val="00ED4800"/>
    <w:rsid w:val="00ED4CC5"/>
    <w:rsid w:val="00ED6069"/>
    <w:rsid w:val="00ED66F7"/>
    <w:rsid w:val="00EE11FC"/>
    <w:rsid w:val="00EE2607"/>
    <w:rsid w:val="00EE65ED"/>
    <w:rsid w:val="00EE6828"/>
    <w:rsid w:val="00EE6902"/>
    <w:rsid w:val="00EE69EB"/>
    <w:rsid w:val="00EE7311"/>
    <w:rsid w:val="00EF521D"/>
    <w:rsid w:val="00EF63F5"/>
    <w:rsid w:val="00EF7EC3"/>
    <w:rsid w:val="00F01E3C"/>
    <w:rsid w:val="00F0392E"/>
    <w:rsid w:val="00F04100"/>
    <w:rsid w:val="00F05208"/>
    <w:rsid w:val="00F052A6"/>
    <w:rsid w:val="00F052C0"/>
    <w:rsid w:val="00F0550F"/>
    <w:rsid w:val="00F1335B"/>
    <w:rsid w:val="00F13818"/>
    <w:rsid w:val="00F1552D"/>
    <w:rsid w:val="00F1557B"/>
    <w:rsid w:val="00F1657E"/>
    <w:rsid w:val="00F16A78"/>
    <w:rsid w:val="00F16E3B"/>
    <w:rsid w:val="00F22539"/>
    <w:rsid w:val="00F22858"/>
    <w:rsid w:val="00F22D07"/>
    <w:rsid w:val="00F24974"/>
    <w:rsid w:val="00F25BB1"/>
    <w:rsid w:val="00F2656A"/>
    <w:rsid w:val="00F27CEF"/>
    <w:rsid w:val="00F30143"/>
    <w:rsid w:val="00F31EB6"/>
    <w:rsid w:val="00F329FF"/>
    <w:rsid w:val="00F332F8"/>
    <w:rsid w:val="00F364F7"/>
    <w:rsid w:val="00F37353"/>
    <w:rsid w:val="00F41050"/>
    <w:rsid w:val="00F411BF"/>
    <w:rsid w:val="00F41861"/>
    <w:rsid w:val="00F42D35"/>
    <w:rsid w:val="00F42FC8"/>
    <w:rsid w:val="00F4405B"/>
    <w:rsid w:val="00F4463C"/>
    <w:rsid w:val="00F4603E"/>
    <w:rsid w:val="00F460F0"/>
    <w:rsid w:val="00F50116"/>
    <w:rsid w:val="00F524EB"/>
    <w:rsid w:val="00F52531"/>
    <w:rsid w:val="00F533C3"/>
    <w:rsid w:val="00F55256"/>
    <w:rsid w:val="00F56173"/>
    <w:rsid w:val="00F570B3"/>
    <w:rsid w:val="00F57C11"/>
    <w:rsid w:val="00F6068A"/>
    <w:rsid w:val="00F6079E"/>
    <w:rsid w:val="00F61E3B"/>
    <w:rsid w:val="00F638B3"/>
    <w:rsid w:val="00F6462C"/>
    <w:rsid w:val="00F6552A"/>
    <w:rsid w:val="00F66AF6"/>
    <w:rsid w:val="00F6773F"/>
    <w:rsid w:val="00F678C9"/>
    <w:rsid w:val="00F728F2"/>
    <w:rsid w:val="00F728FC"/>
    <w:rsid w:val="00F75954"/>
    <w:rsid w:val="00F75A7D"/>
    <w:rsid w:val="00F77885"/>
    <w:rsid w:val="00F804AD"/>
    <w:rsid w:val="00F81C63"/>
    <w:rsid w:val="00F8253D"/>
    <w:rsid w:val="00F842A7"/>
    <w:rsid w:val="00F84C4E"/>
    <w:rsid w:val="00F855A7"/>
    <w:rsid w:val="00F8562A"/>
    <w:rsid w:val="00F8615A"/>
    <w:rsid w:val="00F878CF"/>
    <w:rsid w:val="00F917D1"/>
    <w:rsid w:val="00F928F3"/>
    <w:rsid w:val="00F92A9A"/>
    <w:rsid w:val="00F92C0A"/>
    <w:rsid w:val="00F942C0"/>
    <w:rsid w:val="00F97749"/>
    <w:rsid w:val="00F97795"/>
    <w:rsid w:val="00F97DAC"/>
    <w:rsid w:val="00FA2893"/>
    <w:rsid w:val="00FA381E"/>
    <w:rsid w:val="00FA3AD8"/>
    <w:rsid w:val="00FA5083"/>
    <w:rsid w:val="00FA512D"/>
    <w:rsid w:val="00FA60AB"/>
    <w:rsid w:val="00FA67FD"/>
    <w:rsid w:val="00FB0AF6"/>
    <w:rsid w:val="00FB0AFF"/>
    <w:rsid w:val="00FB1243"/>
    <w:rsid w:val="00FB16F3"/>
    <w:rsid w:val="00FB237F"/>
    <w:rsid w:val="00FB2C67"/>
    <w:rsid w:val="00FB2F08"/>
    <w:rsid w:val="00FB35EF"/>
    <w:rsid w:val="00FB3FCF"/>
    <w:rsid w:val="00FB5480"/>
    <w:rsid w:val="00FB7424"/>
    <w:rsid w:val="00FB7DE2"/>
    <w:rsid w:val="00FC0E3F"/>
    <w:rsid w:val="00FC1548"/>
    <w:rsid w:val="00FC18CC"/>
    <w:rsid w:val="00FC2CFF"/>
    <w:rsid w:val="00FC54B3"/>
    <w:rsid w:val="00FC5850"/>
    <w:rsid w:val="00FC5983"/>
    <w:rsid w:val="00FC5EDB"/>
    <w:rsid w:val="00FC73AB"/>
    <w:rsid w:val="00FC7D4C"/>
    <w:rsid w:val="00FD03C0"/>
    <w:rsid w:val="00FD3A07"/>
    <w:rsid w:val="00FD4284"/>
    <w:rsid w:val="00FD47B4"/>
    <w:rsid w:val="00FD67B9"/>
    <w:rsid w:val="00FE0E55"/>
    <w:rsid w:val="00FE33A8"/>
    <w:rsid w:val="00FE43E9"/>
    <w:rsid w:val="00FE69E9"/>
    <w:rsid w:val="00FE6F9A"/>
    <w:rsid w:val="00FE7102"/>
    <w:rsid w:val="00FF3FF1"/>
    <w:rsid w:val="00FF4C23"/>
    <w:rsid w:val="00FF5267"/>
    <w:rsid w:val="00FF6C47"/>
    <w:rsid w:val="00FF7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colormru v:ext="edit" colors="#ddd,green"/>
      <o:colormenu v:ext="edit" fillcolor="none [3212]"/>
    </o:shapedefaults>
    <o:shapelayout v:ext="edit">
      <o:idmap v:ext="edit" data="1"/>
    </o:shapelayout>
  </w:shapeDefaults>
  <w:decimalSymbol w:val="."/>
  <w:listSeparator w:val=","/>
  <w15:docId w15:val="{6264CB6D-AD39-4EC1-AA5C-41E32229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475"/>
    <w:rPr>
      <w:rFonts w:ascii="Arial" w:hAnsi="Arial"/>
      <w:sz w:val="24"/>
    </w:rPr>
  </w:style>
  <w:style w:type="paragraph" w:styleId="Heading1">
    <w:name w:val="heading 1"/>
    <w:basedOn w:val="Normal"/>
    <w:next w:val="Normal"/>
    <w:link w:val="Heading1Char"/>
    <w:qFormat/>
    <w:rsid w:val="00FB2C67"/>
    <w:pPr>
      <w:keepNext/>
      <w:spacing w:before="240" w:after="60"/>
      <w:outlineLvl w:val="0"/>
    </w:pPr>
    <w:rPr>
      <w:b/>
      <w:kern w:val="28"/>
      <w:sz w:val="28"/>
    </w:rPr>
  </w:style>
  <w:style w:type="paragraph" w:styleId="Heading2">
    <w:name w:val="heading 2"/>
    <w:basedOn w:val="Normal"/>
    <w:next w:val="Normal"/>
    <w:link w:val="Heading2Char"/>
    <w:qFormat/>
    <w:rsid w:val="00FB2C67"/>
    <w:pPr>
      <w:keepNext/>
      <w:shd w:val="pct10" w:color="auto" w:fill="auto"/>
      <w:ind w:left="2880" w:right="2340"/>
      <w:jc w:val="center"/>
      <w:outlineLvl w:val="1"/>
    </w:pPr>
    <w:rPr>
      <w:b/>
      <w:u w:val="single"/>
    </w:rPr>
  </w:style>
  <w:style w:type="paragraph" w:styleId="Heading3">
    <w:name w:val="heading 3"/>
    <w:basedOn w:val="Normal"/>
    <w:next w:val="Normal"/>
    <w:link w:val="Heading3Char"/>
    <w:qFormat/>
    <w:rsid w:val="00FB2C67"/>
    <w:pPr>
      <w:keepNext/>
      <w:outlineLvl w:val="2"/>
    </w:pPr>
    <w:rPr>
      <w:b/>
      <w:i/>
      <w:snapToGrid w:val="0"/>
      <w:sz w:val="28"/>
      <w:u w:val="single"/>
      <w:lang w:eastAsia="en-US"/>
    </w:rPr>
  </w:style>
  <w:style w:type="paragraph" w:styleId="Heading4">
    <w:name w:val="heading 4"/>
    <w:basedOn w:val="Normal"/>
    <w:next w:val="Normal"/>
    <w:link w:val="Heading4Char"/>
    <w:qFormat/>
    <w:rsid w:val="00FB2C67"/>
    <w:pPr>
      <w:keepNext/>
      <w:outlineLvl w:val="3"/>
    </w:pPr>
    <w:rPr>
      <w:b/>
      <w:snapToGrid w:val="0"/>
      <w:u w:val="single"/>
      <w:lang w:eastAsia="en-US"/>
    </w:rPr>
  </w:style>
  <w:style w:type="paragraph" w:styleId="Heading5">
    <w:name w:val="heading 5"/>
    <w:basedOn w:val="Normal"/>
    <w:next w:val="Normal"/>
    <w:link w:val="Heading5Char"/>
    <w:qFormat/>
    <w:rsid w:val="00FB2C67"/>
    <w:pPr>
      <w:keepNext/>
      <w:outlineLvl w:val="4"/>
    </w:pPr>
    <w:rPr>
      <w:rFonts w:ascii="Univers" w:hAnsi="Univers"/>
      <w:b/>
      <w:u w:val="single"/>
    </w:rPr>
  </w:style>
  <w:style w:type="paragraph" w:styleId="Heading6">
    <w:name w:val="heading 6"/>
    <w:basedOn w:val="Normal"/>
    <w:next w:val="Normal"/>
    <w:link w:val="Heading6Char"/>
    <w:qFormat/>
    <w:rsid w:val="00FB2C67"/>
    <w:pPr>
      <w:keepNext/>
      <w:shd w:val="pct10" w:color="auto" w:fill="auto"/>
      <w:spacing w:line="360" w:lineRule="auto"/>
      <w:ind w:left="2340" w:right="1620"/>
      <w:jc w:val="center"/>
      <w:outlineLvl w:val="5"/>
    </w:pPr>
    <w:rPr>
      <w:b/>
    </w:rPr>
  </w:style>
  <w:style w:type="paragraph" w:styleId="Heading7">
    <w:name w:val="heading 7"/>
    <w:basedOn w:val="Normal"/>
    <w:next w:val="Normal"/>
    <w:link w:val="Heading7Char"/>
    <w:qFormat/>
    <w:rsid w:val="00FB2C67"/>
    <w:pPr>
      <w:keepNext/>
      <w:jc w:val="center"/>
      <w:outlineLvl w:val="6"/>
    </w:pPr>
    <w:rPr>
      <w:b/>
    </w:rPr>
  </w:style>
  <w:style w:type="paragraph" w:styleId="Heading8">
    <w:name w:val="heading 8"/>
    <w:basedOn w:val="Normal"/>
    <w:next w:val="Normal"/>
    <w:link w:val="Heading8Char"/>
    <w:qFormat/>
    <w:rsid w:val="00FB2C67"/>
    <w:pPr>
      <w:keepNext/>
      <w:outlineLvl w:val="7"/>
    </w:pPr>
    <w:rPr>
      <w:b/>
      <w:snapToGrid w:val="0"/>
      <w:lang w:eastAsia="en-US"/>
    </w:rPr>
  </w:style>
  <w:style w:type="paragraph" w:styleId="Heading9">
    <w:name w:val="heading 9"/>
    <w:basedOn w:val="Normal"/>
    <w:next w:val="Normal"/>
    <w:link w:val="Heading9Char"/>
    <w:qFormat/>
    <w:rsid w:val="00FB2C67"/>
    <w:pPr>
      <w:keepNext/>
      <w:tabs>
        <w:tab w:val="left" w:pos="4788"/>
        <w:tab w:val="left" w:pos="9576"/>
      </w:tabs>
      <w:spacing w:line="360" w:lineRule="auto"/>
      <w:outlineLvl w:val="8"/>
    </w:pPr>
    <w:rPr>
      <w:b/>
      <w:i/>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CA5A9E"/>
    <w:rPr>
      <w:rFonts w:ascii="Arial" w:hAnsi="Arial"/>
      <w:b/>
      <w:snapToGrid w:val="0"/>
      <w:sz w:val="24"/>
      <w:lang w:eastAsia="en-US"/>
    </w:rPr>
  </w:style>
  <w:style w:type="paragraph" w:styleId="Header">
    <w:name w:val="header"/>
    <w:basedOn w:val="Normal"/>
    <w:link w:val="HeaderChar"/>
    <w:rsid w:val="00FB2C67"/>
  </w:style>
  <w:style w:type="character" w:customStyle="1" w:styleId="HeaderChar">
    <w:name w:val="Header Char"/>
    <w:basedOn w:val="DefaultParagraphFont"/>
    <w:link w:val="Header"/>
    <w:rsid w:val="00D3401D"/>
    <w:rPr>
      <w:rFonts w:ascii="Arial" w:hAnsi="Arial"/>
      <w:sz w:val="24"/>
    </w:rPr>
  </w:style>
  <w:style w:type="paragraph" w:styleId="BlockText">
    <w:name w:val="Block Text"/>
    <w:basedOn w:val="Normal"/>
    <w:rsid w:val="00FB2C67"/>
    <w:pPr>
      <w:shd w:val="pct10" w:color="auto" w:fill="auto"/>
      <w:ind w:left="2880" w:right="3123"/>
    </w:pPr>
  </w:style>
  <w:style w:type="paragraph" w:styleId="BodyTextIndent3">
    <w:name w:val="Body Text Indent 3"/>
    <w:basedOn w:val="Normal"/>
    <w:link w:val="BodyTextIndent3Char"/>
    <w:rsid w:val="00FB2C67"/>
    <w:pPr>
      <w:tabs>
        <w:tab w:val="left" w:pos="360"/>
      </w:tabs>
      <w:ind w:left="360"/>
    </w:pPr>
  </w:style>
  <w:style w:type="paragraph" w:styleId="BodyText3">
    <w:name w:val="Body Text 3"/>
    <w:basedOn w:val="Normal"/>
    <w:link w:val="BodyText3Char"/>
    <w:rsid w:val="00FB2C67"/>
    <w:pPr>
      <w:outlineLvl w:val="0"/>
    </w:pPr>
    <w:rPr>
      <w:rFonts w:ascii="Times New Roman" w:hAnsi="Times New Roman"/>
      <w:color w:val="000000"/>
    </w:rPr>
  </w:style>
  <w:style w:type="paragraph" w:styleId="Footer">
    <w:name w:val="footer"/>
    <w:basedOn w:val="Normal"/>
    <w:link w:val="FooterChar"/>
    <w:uiPriority w:val="99"/>
    <w:rsid w:val="00FB2C67"/>
    <w:pPr>
      <w:tabs>
        <w:tab w:val="center" w:pos="4153"/>
        <w:tab w:val="right" w:pos="8306"/>
      </w:tabs>
    </w:pPr>
  </w:style>
  <w:style w:type="character" w:customStyle="1" w:styleId="FooterChar">
    <w:name w:val="Footer Char"/>
    <w:basedOn w:val="DefaultParagraphFont"/>
    <w:link w:val="Footer"/>
    <w:uiPriority w:val="99"/>
    <w:rsid w:val="00880512"/>
    <w:rPr>
      <w:rFonts w:ascii="Arial" w:hAnsi="Arial"/>
      <w:sz w:val="24"/>
    </w:rPr>
  </w:style>
  <w:style w:type="character" w:styleId="PageNumber">
    <w:name w:val="page number"/>
    <w:basedOn w:val="DefaultParagraphFont"/>
    <w:rsid w:val="00FB2C67"/>
  </w:style>
  <w:style w:type="paragraph" w:styleId="ListBullet">
    <w:name w:val="List Bullet"/>
    <w:aliases w:val=" Char"/>
    <w:basedOn w:val="Normal"/>
    <w:link w:val="ListBulletChar"/>
    <w:autoRedefine/>
    <w:rsid w:val="00FB2C67"/>
    <w:pPr>
      <w:numPr>
        <w:numId w:val="3"/>
      </w:numPr>
    </w:pPr>
  </w:style>
  <w:style w:type="character" w:customStyle="1" w:styleId="ListBulletChar">
    <w:name w:val="List Bullet Char"/>
    <w:aliases w:val=" Char Char"/>
    <w:basedOn w:val="DefaultParagraphFont"/>
    <w:link w:val="ListBullet"/>
    <w:rsid w:val="00C67C81"/>
    <w:rPr>
      <w:rFonts w:ascii="Arial" w:hAnsi="Arial"/>
      <w:sz w:val="24"/>
    </w:rPr>
  </w:style>
  <w:style w:type="character" w:styleId="Hyperlink">
    <w:name w:val="Hyperlink"/>
    <w:basedOn w:val="DefaultParagraphFont"/>
    <w:rsid w:val="00FB2C67"/>
    <w:rPr>
      <w:color w:val="0000FF"/>
      <w:u w:val="single"/>
    </w:rPr>
  </w:style>
  <w:style w:type="character" w:styleId="FollowedHyperlink">
    <w:name w:val="FollowedHyperlink"/>
    <w:basedOn w:val="DefaultParagraphFont"/>
    <w:rsid w:val="00FB2C67"/>
    <w:rPr>
      <w:color w:val="800080"/>
      <w:u w:val="single"/>
    </w:rPr>
  </w:style>
  <w:style w:type="paragraph" w:styleId="Title">
    <w:name w:val="Title"/>
    <w:basedOn w:val="Normal"/>
    <w:link w:val="TitleChar"/>
    <w:qFormat/>
    <w:rsid w:val="00FB2C67"/>
    <w:pPr>
      <w:jc w:val="center"/>
    </w:pPr>
    <w:rPr>
      <w:b/>
      <w:snapToGrid w:val="0"/>
      <w:sz w:val="48"/>
      <w:lang w:eastAsia="en-US"/>
    </w:rPr>
  </w:style>
  <w:style w:type="paragraph" w:styleId="BodyText">
    <w:name w:val="Body Text"/>
    <w:basedOn w:val="Normal"/>
    <w:link w:val="BodyTextChar"/>
    <w:uiPriority w:val="99"/>
    <w:rsid w:val="00FB2C67"/>
    <w:rPr>
      <w:b/>
    </w:rPr>
  </w:style>
  <w:style w:type="character" w:customStyle="1" w:styleId="BodyTextChar">
    <w:name w:val="Body Text Char"/>
    <w:basedOn w:val="DefaultParagraphFont"/>
    <w:link w:val="BodyText"/>
    <w:uiPriority w:val="99"/>
    <w:rsid w:val="00D3401D"/>
    <w:rPr>
      <w:rFonts w:ascii="Arial" w:hAnsi="Arial"/>
      <w:b/>
      <w:sz w:val="24"/>
    </w:rPr>
  </w:style>
  <w:style w:type="paragraph" w:styleId="BodyText2">
    <w:name w:val="Body Text 2"/>
    <w:basedOn w:val="Normal"/>
    <w:link w:val="BodyText2Char"/>
    <w:rsid w:val="00FB2C67"/>
    <w:pPr>
      <w:ind w:right="-180"/>
    </w:pPr>
  </w:style>
  <w:style w:type="paragraph" w:styleId="NormalWeb">
    <w:name w:val="Normal (Web)"/>
    <w:basedOn w:val="Normal"/>
    <w:uiPriority w:val="99"/>
    <w:rsid w:val="00FB2C67"/>
    <w:pPr>
      <w:spacing w:before="100" w:after="100"/>
    </w:pPr>
    <w:rPr>
      <w:rFonts w:ascii="Times New Roman" w:hAnsi="Times New Roman"/>
      <w:lang w:val="en-US"/>
    </w:rPr>
  </w:style>
  <w:style w:type="paragraph" w:styleId="BodyTextIndent">
    <w:name w:val="Body Text Indent"/>
    <w:basedOn w:val="Normal"/>
    <w:link w:val="BodyTextIndentChar"/>
    <w:rsid w:val="00FB2C67"/>
    <w:pPr>
      <w:tabs>
        <w:tab w:val="left" w:pos="1080"/>
      </w:tabs>
      <w:spacing w:after="80"/>
      <w:ind w:left="1080"/>
      <w:jc w:val="both"/>
    </w:pPr>
  </w:style>
  <w:style w:type="character" w:customStyle="1" w:styleId="BodyTextIndentChar">
    <w:name w:val="Body Text Indent Char"/>
    <w:basedOn w:val="DefaultParagraphFont"/>
    <w:link w:val="BodyTextIndent"/>
    <w:rsid w:val="000C50AF"/>
    <w:rPr>
      <w:rFonts w:ascii="Arial" w:hAnsi="Arial"/>
      <w:sz w:val="24"/>
    </w:rPr>
  </w:style>
  <w:style w:type="paragraph" w:styleId="BodyTextIndent2">
    <w:name w:val="Body Text Indent 2"/>
    <w:basedOn w:val="Normal"/>
    <w:link w:val="BodyTextIndent2Char"/>
    <w:rsid w:val="00FB2C67"/>
    <w:pPr>
      <w:spacing w:after="240"/>
      <w:ind w:left="720"/>
      <w:jc w:val="both"/>
    </w:pPr>
  </w:style>
  <w:style w:type="paragraph" w:customStyle="1" w:styleId="Bullet4">
    <w:name w:val="Bullet 4"/>
    <w:basedOn w:val="Normal"/>
    <w:uiPriority w:val="99"/>
    <w:rsid w:val="00FB2C67"/>
    <w:pPr>
      <w:numPr>
        <w:numId w:val="6"/>
      </w:numPr>
      <w:spacing w:after="240"/>
    </w:pPr>
    <w:rPr>
      <w:rFonts w:ascii="Times New Roman" w:hAnsi="Times New Roman"/>
    </w:rPr>
  </w:style>
  <w:style w:type="paragraph" w:styleId="DocumentMap">
    <w:name w:val="Document Map"/>
    <w:basedOn w:val="Normal"/>
    <w:link w:val="DocumentMapChar"/>
    <w:semiHidden/>
    <w:rsid w:val="00FB2C67"/>
    <w:pPr>
      <w:shd w:val="clear" w:color="auto" w:fill="000080"/>
    </w:pPr>
    <w:rPr>
      <w:rFonts w:ascii="Tahoma" w:hAnsi="Tahoma"/>
    </w:rPr>
  </w:style>
  <w:style w:type="paragraph" w:customStyle="1" w:styleId="Default">
    <w:name w:val="Default"/>
    <w:rsid w:val="00084BC1"/>
    <w:pPr>
      <w:autoSpaceDE w:val="0"/>
      <w:autoSpaceDN w:val="0"/>
      <w:adjustRightInd w:val="0"/>
    </w:pPr>
    <w:rPr>
      <w:rFonts w:ascii="Arial" w:hAnsi="Arial" w:cs="Arial"/>
      <w:color w:val="000000"/>
      <w:sz w:val="24"/>
      <w:szCs w:val="24"/>
    </w:rPr>
  </w:style>
  <w:style w:type="paragraph" w:customStyle="1" w:styleId="arial11">
    <w:name w:val="arial11"/>
    <w:basedOn w:val="Normal"/>
    <w:rsid w:val="004038DF"/>
  </w:style>
  <w:style w:type="table" w:styleId="TableGrid">
    <w:name w:val="Table Grid"/>
    <w:basedOn w:val="TableNormal"/>
    <w:rsid w:val="00C26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E37EB1"/>
    <w:rPr>
      <w:rFonts w:ascii="Tahoma" w:hAnsi="Tahoma" w:cs="Tahoma"/>
      <w:sz w:val="16"/>
      <w:szCs w:val="16"/>
    </w:rPr>
  </w:style>
  <w:style w:type="paragraph" w:styleId="PlainText">
    <w:name w:val="Plain Text"/>
    <w:basedOn w:val="Normal"/>
    <w:link w:val="PlainTextChar"/>
    <w:rsid w:val="007B0E0F"/>
    <w:rPr>
      <w:rFonts w:ascii="Courier New" w:hAnsi="Courier New" w:cs="Courier New"/>
      <w:sz w:val="20"/>
    </w:rPr>
  </w:style>
  <w:style w:type="paragraph" w:customStyle="1" w:styleId="TableHeadingText">
    <w:name w:val="Table Heading Text"/>
    <w:basedOn w:val="Normal"/>
    <w:rsid w:val="00C67C81"/>
    <w:pPr>
      <w:spacing w:before="60" w:after="60"/>
    </w:pPr>
    <w:rPr>
      <w:rFonts w:ascii="Arial Black" w:hAnsi="Arial Black"/>
      <w:sz w:val="18"/>
      <w:lang w:eastAsia="en-US"/>
    </w:rPr>
  </w:style>
  <w:style w:type="paragraph" w:customStyle="1" w:styleId="TableText">
    <w:name w:val="Table Text"/>
    <w:basedOn w:val="Normal"/>
    <w:rsid w:val="00C67C81"/>
    <w:pPr>
      <w:spacing w:before="40" w:after="40"/>
    </w:pPr>
    <w:rPr>
      <w:rFonts w:cs="Arial"/>
      <w:sz w:val="20"/>
      <w:lang w:eastAsia="en-US"/>
    </w:rPr>
  </w:style>
  <w:style w:type="paragraph" w:customStyle="1" w:styleId="OutlineNum2">
    <w:name w:val="Outline Num 2"/>
    <w:basedOn w:val="Normal"/>
    <w:link w:val="OutlineNum2Char"/>
    <w:rsid w:val="00C67C81"/>
    <w:pPr>
      <w:numPr>
        <w:ilvl w:val="1"/>
        <w:numId w:val="7"/>
      </w:numPr>
      <w:spacing w:after="240"/>
      <w:outlineLvl w:val="1"/>
    </w:pPr>
    <w:rPr>
      <w:sz w:val="22"/>
    </w:rPr>
  </w:style>
  <w:style w:type="paragraph" w:customStyle="1" w:styleId="OutlineNum3">
    <w:name w:val="Outline Num 3"/>
    <w:basedOn w:val="Normal"/>
    <w:rsid w:val="00C67C81"/>
    <w:pPr>
      <w:numPr>
        <w:ilvl w:val="2"/>
        <w:numId w:val="7"/>
      </w:numPr>
      <w:spacing w:after="240"/>
      <w:outlineLvl w:val="2"/>
    </w:pPr>
    <w:rPr>
      <w:sz w:val="22"/>
    </w:rPr>
  </w:style>
  <w:style w:type="paragraph" w:customStyle="1" w:styleId="BulletSingle">
    <w:name w:val="Bullet Single"/>
    <w:basedOn w:val="Normal"/>
    <w:rsid w:val="00C67C81"/>
    <w:pPr>
      <w:numPr>
        <w:numId w:val="8"/>
      </w:numPr>
      <w:outlineLvl w:val="0"/>
    </w:pPr>
    <w:rPr>
      <w:sz w:val="22"/>
    </w:rPr>
  </w:style>
  <w:style w:type="paragraph" w:customStyle="1" w:styleId="BulletSingle2">
    <w:name w:val="Bullet Single 2"/>
    <w:basedOn w:val="Normal"/>
    <w:rsid w:val="00C67C81"/>
    <w:pPr>
      <w:numPr>
        <w:ilvl w:val="1"/>
        <w:numId w:val="8"/>
      </w:numPr>
      <w:outlineLvl w:val="1"/>
    </w:pPr>
    <w:rPr>
      <w:sz w:val="22"/>
    </w:rPr>
  </w:style>
  <w:style w:type="paragraph" w:customStyle="1" w:styleId="BulletSingle3">
    <w:name w:val="Bullet Single 3"/>
    <w:basedOn w:val="Normal"/>
    <w:rsid w:val="00C67C81"/>
    <w:pPr>
      <w:numPr>
        <w:ilvl w:val="2"/>
        <w:numId w:val="8"/>
      </w:numPr>
      <w:outlineLvl w:val="2"/>
    </w:pPr>
    <w:rPr>
      <w:sz w:val="22"/>
    </w:rPr>
  </w:style>
  <w:style w:type="paragraph" w:customStyle="1" w:styleId="BulletSingle4">
    <w:name w:val="Bullet Single 4"/>
    <w:basedOn w:val="BulletSingle"/>
    <w:rsid w:val="00C67C81"/>
    <w:pPr>
      <w:numPr>
        <w:ilvl w:val="3"/>
      </w:numPr>
      <w:outlineLvl w:val="3"/>
    </w:pPr>
  </w:style>
  <w:style w:type="paragraph" w:customStyle="1" w:styleId="CM33">
    <w:name w:val="CM33"/>
    <w:basedOn w:val="Default"/>
    <w:next w:val="Default"/>
    <w:rsid w:val="00085FCE"/>
    <w:pPr>
      <w:widowControl w:val="0"/>
      <w:spacing w:after="498"/>
    </w:pPr>
    <w:rPr>
      <w:rFonts w:cs="Times New Roman"/>
      <w:color w:val="auto"/>
    </w:rPr>
  </w:style>
  <w:style w:type="paragraph" w:customStyle="1" w:styleId="CM35">
    <w:name w:val="CM35"/>
    <w:basedOn w:val="Default"/>
    <w:next w:val="Default"/>
    <w:rsid w:val="00085FCE"/>
    <w:pPr>
      <w:widowControl w:val="0"/>
      <w:spacing w:after="553"/>
    </w:pPr>
    <w:rPr>
      <w:rFonts w:cs="Times New Roman"/>
      <w:color w:val="auto"/>
    </w:rPr>
  </w:style>
  <w:style w:type="paragraph" w:customStyle="1" w:styleId="CM36">
    <w:name w:val="CM36"/>
    <w:basedOn w:val="Default"/>
    <w:next w:val="Default"/>
    <w:rsid w:val="00085FCE"/>
    <w:pPr>
      <w:widowControl w:val="0"/>
      <w:spacing w:after="295"/>
    </w:pPr>
    <w:rPr>
      <w:rFonts w:cs="Times New Roman"/>
      <w:color w:val="auto"/>
    </w:rPr>
  </w:style>
  <w:style w:type="paragraph" w:customStyle="1" w:styleId="CM5">
    <w:name w:val="CM5"/>
    <w:basedOn w:val="Default"/>
    <w:next w:val="Default"/>
    <w:rsid w:val="00085FCE"/>
    <w:pPr>
      <w:widowControl w:val="0"/>
      <w:spacing w:line="320" w:lineRule="atLeast"/>
    </w:pPr>
    <w:rPr>
      <w:rFonts w:cs="Times New Roman"/>
      <w:color w:val="auto"/>
    </w:rPr>
  </w:style>
  <w:style w:type="paragraph" w:customStyle="1" w:styleId="CM37">
    <w:name w:val="CM37"/>
    <w:basedOn w:val="Default"/>
    <w:next w:val="Default"/>
    <w:rsid w:val="00085FCE"/>
    <w:pPr>
      <w:widowControl w:val="0"/>
      <w:spacing w:after="335"/>
    </w:pPr>
    <w:rPr>
      <w:rFonts w:cs="Times New Roman"/>
      <w:color w:val="auto"/>
    </w:rPr>
  </w:style>
  <w:style w:type="paragraph" w:customStyle="1" w:styleId="CM43">
    <w:name w:val="CM43"/>
    <w:basedOn w:val="Default"/>
    <w:next w:val="Default"/>
    <w:rsid w:val="00085FCE"/>
    <w:pPr>
      <w:widowControl w:val="0"/>
      <w:spacing w:after="950"/>
    </w:pPr>
    <w:rPr>
      <w:rFonts w:cs="Times New Roman"/>
      <w:color w:val="auto"/>
    </w:rPr>
  </w:style>
  <w:style w:type="paragraph" w:styleId="Revision">
    <w:name w:val="Revision"/>
    <w:hidden/>
    <w:uiPriority w:val="99"/>
    <w:semiHidden/>
    <w:rsid w:val="001749B7"/>
    <w:rPr>
      <w:rFonts w:ascii="Arial" w:hAnsi="Arial"/>
      <w:sz w:val="24"/>
    </w:rPr>
  </w:style>
  <w:style w:type="character" w:styleId="HTMLCite">
    <w:name w:val="HTML Cite"/>
    <w:basedOn w:val="DefaultParagraphFont"/>
    <w:uiPriority w:val="99"/>
    <w:semiHidden/>
    <w:unhideWhenUsed/>
    <w:rsid w:val="009D5C04"/>
    <w:rPr>
      <w:i/>
      <w:iCs/>
    </w:rPr>
  </w:style>
  <w:style w:type="paragraph" w:styleId="EndnoteText">
    <w:name w:val="endnote text"/>
    <w:basedOn w:val="Normal"/>
    <w:link w:val="EndnoteTextChar"/>
    <w:uiPriority w:val="99"/>
    <w:semiHidden/>
    <w:unhideWhenUsed/>
    <w:rsid w:val="00E622A6"/>
    <w:rPr>
      <w:sz w:val="20"/>
    </w:rPr>
  </w:style>
  <w:style w:type="character" w:customStyle="1" w:styleId="EndnoteTextChar">
    <w:name w:val="Endnote Text Char"/>
    <w:basedOn w:val="DefaultParagraphFont"/>
    <w:link w:val="EndnoteText"/>
    <w:uiPriority w:val="99"/>
    <w:semiHidden/>
    <w:rsid w:val="00E622A6"/>
    <w:rPr>
      <w:rFonts w:ascii="Arial" w:hAnsi="Arial"/>
    </w:rPr>
  </w:style>
  <w:style w:type="character" w:styleId="EndnoteReference">
    <w:name w:val="endnote reference"/>
    <w:basedOn w:val="DefaultParagraphFont"/>
    <w:uiPriority w:val="99"/>
    <w:semiHidden/>
    <w:unhideWhenUsed/>
    <w:rsid w:val="00E622A6"/>
    <w:rPr>
      <w:vertAlign w:val="superscript"/>
    </w:rPr>
  </w:style>
  <w:style w:type="paragraph" w:styleId="ListParagraph">
    <w:name w:val="List Paragraph"/>
    <w:basedOn w:val="Normal"/>
    <w:link w:val="ListParagraphChar"/>
    <w:uiPriority w:val="34"/>
    <w:qFormat/>
    <w:rsid w:val="00B41E19"/>
    <w:pPr>
      <w:ind w:left="720"/>
      <w:contextualSpacing/>
    </w:pPr>
    <w:rPr>
      <w:szCs w:val="24"/>
    </w:rPr>
  </w:style>
  <w:style w:type="character" w:styleId="Strong">
    <w:name w:val="Strong"/>
    <w:basedOn w:val="DefaultParagraphFont"/>
    <w:qFormat/>
    <w:rsid w:val="00E56E3C"/>
    <w:rPr>
      <w:b/>
      <w:bCs/>
    </w:rPr>
  </w:style>
  <w:style w:type="paragraph" w:customStyle="1" w:styleId="SectionStart">
    <w:name w:val="Section Start"/>
    <w:basedOn w:val="Normal"/>
    <w:next w:val="Heading1"/>
    <w:rsid w:val="004126C0"/>
    <w:pPr>
      <w:pageBreakBefore/>
      <w:pBdr>
        <w:top w:val="single" w:sz="12" w:space="1" w:color="000000"/>
        <w:left w:val="single" w:sz="12" w:space="9" w:color="000000"/>
        <w:bottom w:val="single" w:sz="12" w:space="1" w:color="000000"/>
        <w:right w:val="single" w:sz="12" w:space="0" w:color="000000"/>
      </w:pBdr>
      <w:tabs>
        <w:tab w:val="left" w:pos="547"/>
        <w:tab w:val="num" w:pos="720"/>
      </w:tabs>
      <w:spacing w:before="1500" w:after="480" w:line="1820" w:lineRule="exact"/>
      <w:ind w:left="720" w:right="6840" w:hanging="720"/>
    </w:pPr>
    <w:rPr>
      <w:rFonts w:ascii="Arial Black" w:hAnsi="Arial Black"/>
      <w:noProof/>
      <w:color w:val="000000"/>
      <w:position w:val="-18"/>
      <w:sz w:val="48"/>
    </w:rPr>
  </w:style>
  <w:style w:type="character" w:customStyle="1" w:styleId="NormalSingleChar">
    <w:name w:val="Normal Single Char"/>
    <w:basedOn w:val="DefaultParagraphFont"/>
    <w:link w:val="NormalSingle"/>
    <w:rsid w:val="004126C0"/>
    <w:rPr>
      <w:rFonts w:ascii="Arial" w:hAnsi="Arial"/>
      <w:color w:val="000000"/>
      <w:sz w:val="22"/>
    </w:rPr>
  </w:style>
  <w:style w:type="paragraph" w:customStyle="1" w:styleId="NormalSingle">
    <w:name w:val="Normal Single"/>
    <w:basedOn w:val="Normal"/>
    <w:link w:val="NormalSingleChar"/>
    <w:rsid w:val="004126C0"/>
    <w:rPr>
      <w:color w:val="000000"/>
      <w:sz w:val="22"/>
    </w:rPr>
  </w:style>
  <w:style w:type="character" w:customStyle="1" w:styleId="OutlineNum2Char">
    <w:name w:val="Outline Num 2 Char"/>
    <w:basedOn w:val="DefaultParagraphFont"/>
    <w:link w:val="OutlineNum2"/>
    <w:rsid w:val="004126C0"/>
    <w:rPr>
      <w:rFonts w:ascii="Arial" w:hAnsi="Arial"/>
      <w:sz w:val="22"/>
    </w:rPr>
  </w:style>
  <w:style w:type="character" w:styleId="LineNumber">
    <w:name w:val="line number"/>
    <w:basedOn w:val="DefaultParagraphFont"/>
    <w:uiPriority w:val="99"/>
    <w:semiHidden/>
    <w:unhideWhenUsed/>
    <w:rsid w:val="00174932"/>
  </w:style>
  <w:style w:type="paragraph" w:styleId="NoSpacing">
    <w:name w:val="No Spacing"/>
    <w:link w:val="NoSpacingChar"/>
    <w:uiPriority w:val="1"/>
    <w:qFormat/>
    <w:rsid w:val="001749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74932"/>
    <w:rPr>
      <w:rFonts w:asciiTheme="minorHAnsi" w:eastAsiaTheme="minorEastAsia" w:hAnsiTheme="minorHAnsi" w:cstheme="minorBidi"/>
      <w:sz w:val="22"/>
      <w:szCs w:val="22"/>
      <w:lang w:val="en-US" w:eastAsia="en-US"/>
    </w:rPr>
  </w:style>
  <w:style w:type="character" w:customStyle="1" w:styleId="BodyTextIndent3Char">
    <w:name w:val="Body Text Indent 3 Char"/>
    <w:basedOn w:val="DefaultParagraphFont"/>
    <w:link w:val="BodyTextIndent3"/>
    <w:rsid w:val="00F04100"/>
    <w:rPr>
      <w:rFonts w:ascii="Arial" w:hAnsi="Arial"/>
      <w:sz w:val="24"/>
    </w:rPr>
  </w:style>
  <w:style w:type="paragraph" w:customStyle="1" w:styleId="BaseBold">
    <w:name w:val="Base Bold"/>
    <w:next w:val="Normal"/>
    <w:rsid w:val="009A3AFE"/>
    <w:pPr>
      <w:spacing w:line="200" w:lineRule="atLeast"/>
    </w:pPr>
    <w:rPr>
      <w:rFonts w:ascii="Arial" w:hAnsi="Arial" w:cs="Arial"/>
      <w:b/>
      <w:sz w:val="16"/>
      <w:lang w:eastAsia="en-US"/>
    </w:rPr>
  </w:style>
  <w:style w:type="paragraph" w:customStyle="1" w:styleId="AppendixHeading">
    <w:name w:val="Appendix Heading"/>
    <w:basedOn w:val="Heading1"/>
    <w:next w:val="Normal"/>
    <w:rsid w:val="005514E7"/>
    <w:pPr>
      <w:tabs>
        <w:tab w:val="num" w:pos="0"/>
      </w:tabs>
      <w:spacing w:before="60" w:after="240"/>
    </w:pPr>
    <w:rPr>
      <w:rFonts w:ascii="Arial Black" w:hAnsi="Arial Black"/>
      <w:b w:val="0"/>
      <w:color w:val="000000"/>
      <w:kern w:val="0"/>
    </w:rPr>
  </w:style>
  <w:style w:type="paragraph" w:customStyle="1" w:styleId="Pa0">
    <w:name w:val="Pa0"/>
    <w:basedOn w:val="Default"/>
    <w:next w:val="Default"/>
    <w:uiPriority w:val="99"/>
    <w:rsid w:val="0092190C"/>
    <w:pPr>
      <w:spacing w:line="241" w:lineRule="atLeast"/>
    </w:pPr>
    <w:rPr>
      <w:rFonts w:ascii="Swiss 72 1 BT" w:eastAsiaTheme="minorHAnsi" w:hAnsi="Swiss 72 1 BT" w:cstheme="minorBidi"/>
      <w:color w:val="auto"/>
      <w:lang w:eastAsia="en-US"/>
    </w:rPr>
  </w:style>
  <w:style w:type="character" w:styleId="CommentReference">
    <w:name w:val="annotation reference"/>
    <w:basedOn w:val="DefaultParagraphFont"/>
    <w:uiPriority w:val="99"/>
    <w:semiHidden/>
    <w:unhideWhenUsed/>
    <w:rsid w:val="00E1773C"/>
    <w:rPr>
      <w:sz w:val="16"/>
      <w:szCs w:val="16"/>
    </w:rPr>
  </w:style>
  <w:style w:type="paragraph" w:styleId="CommentText">
    <w:name w:val="annotation text"/>
    <w:basedOn w:val="Normal"/>
    <w:link w:val="CommentTextChar"/>
    <w:uiPriority w:val="99"/>
    <w:semiHidden/>
    <w:unhideWhenUsed/>
    <w:rsid w:val="00E1773C"/>
    <w:rPr>
      <w:sz w:val="20"/>
    </w:rPr>
  </w:style>
  <w:style w:type="character" w:customStyle="1" w:styleId="CommentTextChar">
    <w:name w:val="Comment Text Char"/>
    <w:basedOn w:val="DefaultParagraphFont"/>
    <w:link w:val="CommentText"/>
    <w:uiPriority w:val="99"/>
    <w:semiHidden/>
    <w:rsid w:val="00E1773C"/>
    <w:rPr>
      <w:rFonts w:ascii="Arial" w:hAnsi="Arial"/>
    </w:rPr>
  </w:style>
  <w:style w:type="paragraph" w:styleId="CommentSubject">
    <w:name w:val="annotation subject"/>
    <w:basedOn w:val="CommentText"/>
    <w:next w:val="CommentText"/>
    <w:link w:val="CommentSubjectChar"/>
    <w:uiPriority w:val="99"/>
    <w:semiHidden/>
    <w:unhideWhenUsed/>
    <w:rsid w:val="00E1773C"/>
    <w:rPr>
      <w:b/>
      <w:bCs/>
    </w:rPr>
  </w:style>
  <w:style w:type="character" w:customStyle="1" w:styleId="CommentSubjectChar">
    <w:name w:val="Comment Subject Char"/>
    <w:basedOn w:val="CommentTextChar"/>
    <w:link w:val="CommentSubject"/>
    <w:uiPriority w:val="99"/>
    <w:semiHidden/>
    <w:rsid w:val="00E1773C"/>
    <w:rPr>
      <w:rFonts w:ascii="Arial" w:hAnsi="Arial"/>
      <w:b/>
      <w:bCs/>
    </w:rPr>
  </w:style>
  <w:style w:type="character" w:customStyle="1" w:styleId="Bodytextemphasised">
    <w:name w:val="Body text (emphasised)"/>
    <w:basedOn w:val="DefaultParagraphFont"/>
    <w:rsid w:val="00B83D57"/>
    <w:rPr>
      <w:rFonts w:ascii="Arial" w:hAnsi="Arial"/>
      <w:b/>
      <w:sz w:val="24"/>
      <w:szCs w:val="24"/>
      <w:lang w:val="en-GB" w:eastAsia="en-GB" w:bidi="ar-SA"/>
    </w:rPr>
  </w:style>
  <w:style w:type="character" w:customStyle="1" w:styleId="Heading4Char">
    <w:name w:val="Heading 4 Char"/>
    <w:basedOn w:val="DefaultParagraphFont"/>
    <w:link w:val="Heading4"/>
    <w:rsid w:val="00D14F61"/>
    <w:rPr>
      <w:rFonts w:ascii="Arial" w:hAnsi="Arial"/>
      <w:b/>
      <w:snapToGrid w:val="0"/>
      <w:sz w:val="24"/>
      <w:u w:val="single"/>
      <w:lang w:eastAsia="en-US"/>
    </w:rPr>
  </w:style>
  <w:style w:type="character" w:customStyle="1" w:styleId="Heading5Char">
    <w:name w:val="Heading 5 Char"/>
    <w:basedOn w:val="DefaultParagraphFont"/>
    <w:link w:val="Heading5"/>
    <w:rsid w:val="00D14F61"/>
    <w:rPr>
      <w:rFonts w:ascii="Univers" w:hAnsi="Univers"/>
      <w:b/>
      <w:sz w:val="24"/>
      <w:u w:val="single"/>
    </w:rPr>
  </w:style>
  <w:style w:type="character" w:customStyle="1" w:styleId="Heading3Char">
    <w:name w:val="Heading 3 Char"/>
    <w:basedOn w:val="DefaultParagraphFont"/>
    <w:link w:val="Heading3"/>
    <w:rsid w:val="004903C8"/>
    <w:rPr>
      <w:rFonts w:ascii="Arial" w:hAnsi="Arial"/>
      <w:b/>
      <w:i/>
      <w:snapToGrid w:val="0"/>
      <w:sz w:val="28"/>
      <w:u w:val="single"/>
      <w:lang w:eastAsia="en-US"/>
    </w:rPr>
  </w:style>
  <w:style w:type="character" w:customStyle="1" w:styleId="Heading1Char">
    <w:name w:val="Heading 1 Char"/>
    <w:basedOn w:val="DefaultParagraphFont"/>
    <w:link w:val="Heading1"/>
    <w:rsid w:val="004903C8"/>
    <w:rPr>
      <w:rFonts w:ascii="Arial" w:hAnsi="Arial"/>
      <w:b/>
      <w:kern w:val="28"/>
      <w:sz w:val="28"/>
    </w:rPr>
  </w:style>
  <w:style w:type="character" w:customStyle="1" w:styleId="BodyTextIndent2Char">
    <w:name w:val="Body Text Indent 2 Char"/>
    <w:basedOn w:val="DefaultParagraphFont"/>
    <w:link w:val="BodyTextIndent2"/>
    <w:rsid w:val="002747C3"/>
    <w:rPr>
      <w:rFonts w:ascii="Arial" w:hAnsi="Arial"/>
      <w:sz w:val="24"/>
    </w:rPr>
  </w:style>
  <w:style w:type="character" w:customStyle="1" w:styleId="Heading2Char">
    <w:name w:val="Heading 2 Char"/>
    <w:basedOn w:val="DefaultParagraphFont"/>
    <w:link w:val="Heading2"/>
    <w:rsid w:val="00CE58F0"/>
    <w:rPr>
      <w:rFonts w:ascii="Arial" w:hAnsi="Arial"/>
      <w:b/>
      <w:sz w:val="24"/>
      <w:u w:val="single"/>
      <w:shd w:val="pct10" w:color="auto" w:fill="auto"/>
    </w:rPr>
  </w:style>
  <w:style w:type="character" w:customStyle="1" w:styleId="Heading6Char">
    <w:name w:val="Heading 6 Char"/>
    <w:basedOn w:val="DefaultParagraphFont"/>
    <w:link w:val="Heading6"/>
    <w:rsid w:val="00CE58F0"/>
    <w:rPr>
      <w:rFonts w:ascii="Arial" w:hAnsi="Arial"/>
      <w:b/>
      <w:sz w:val="24"/>
      <w:shd w:val="pct10" w:color="auto" w:fill="auto"/>
    </w:rPr>
  </w:style>
  <w:style w:type="character" w:customStyle="1" w:styleId="Heading7Char">
    <w:name w:val="Heading 7 Char"/>
    <w:basedOn w:val="DefaultParagraphFont"/>
    <w:link w:val="Heading7"/>
    <w:rsid w:val="00CE58F0"/>
    <w:rPr>
      <w:rFonts w:ascii="Arial" w:hAnsi="Arial"/>
      <w:b/>
      <w:sz w:val="24"/>
    </w:rPr>
  </w:style>
  <w:style w:type="character" w:customStyle="1" w:styleId="Heading9Char">
    <w:name w:val="Heading 9 Char"/>
    <w:basedOn w:val="DefaultParagraphFont"/>
    <w:link w:val="Heading9"/>
    <w:rsid w:val="00CE58F0"/>
    <w:rPr>
      <w:rFonts w:ascii="Arial" w:hAnsi="Arial"/>
      <w:b/>
      <w:i/>
      <w:snapToGrid w:val="0"/>
      <w:sz w:val="24"/>
      <w:lang w:eastAsia="en-US"/>
    </w:rPr>
  </w:style>
  <w:style w:type="character" w:customStyle="1" w:styleId="BodyText3Char">
    <w:name w:val="Body Text 3 Char"/>
    <w:basedOn w:val="DefaultParagraphFont"/>
    <w:link w:val="BodyText3"/>
    <w:rsid w:val="00CE58F0"/>
    <w:rPr>
      <w:color w:val="000000"/>
      <w:sz w:val="24"/>
    </w:rPr>
  </w:style>
  <w:style w:type="character" w:customStyle="1" w:styleId="TitleChar">
    <w:name w:val="Title Char"/>
    <w:basedOn w:val="DefaultParagraphFont"/>
    <w:link w:val="Title"/>
    <w:rsid w:val="00CE58F0"/>
    <w:rPr>
      <w:rFonts w:ascii="Arial" w:hAnsi="Arial"/>
      <w:b/>
      <w:snapToGrid w:val="0"/>
      <w:sz w:val="48"/>
      <w:lang w:eastAsia="en-US"/>
    </w:rPr>
  </w:style>
  <w:style w:type="character" w:customStyle="1" w:styleId="BodyText2Char">
    <w:name w:val="Body Text 2 Char"/>
    <w:basedOn w:val="DefaultParagraphFont"/>
    <w:link w:val="BodyText2"/>
    <w:rsid w:val="00CE58F0"/>
    <w:rPr>
      <w:rFonts w:ascii="Arial" w:hAnsi="Arial"/>
      <w:sz w:val="24"/>
    </w:rPr>
  </w:style>
  <w:style w:type="character" w:customStyle="1" w:styleId="DocumentMapChar">
    <w:name w:val="Document Map Char"/>
    <w:basedOn w:val="DefaultParagraphFont"/>
    <w:link w:val="DocumentMap"/>
    <w:semiHidden/>
    <w:rsid w:val="00CE58F0"/>
    <w:rPr>
      <w:rFonts w:ascii="Tahoma" w:hAnsi="Tahoma"/>
      <w:sz w:val="24"/>
      <w:shd w:val="clear" w:color="auto" w:fill="000080"/>
    </w:rPr>
  </w:style>
  <w:style w:type="character" w:customStyle="1" w:styleId="BalloonTextChar">
    <w:name w:val="Balloon Text Char"/>
    <w:basedOn w:val="DefaultParagraphFont"/>
    <w:link w:val="BalloonText"/>
    <w:semiHidden/>
    <w:rsid w:val="00CE58F0"/>
    <w:rPr>
      <w:rFonts w:ascii="Tahoma" w:hAnsi="Tahoma" w:cs="Tahoma"/>
      <w:sz w:val="16"/>
      <w:szCs w:val="16"/>
    </w:rPr>
  </w:style>
  <w:style w:type="character" w:customStyle="1" w:styleId="PlainTextChar">
    <w:name w:val="Plain Text Char"/>
    <w:basedOn w:val="DefaultParagraphFont"/>
    <w:link w:val="PlainText"/>
    <w:rsid w:val="00CE58F0"/>
    <w:rPr>
      <w:rFonts w:ascii="Courier New" w:hAnsi="Courier New" w:cs="Courier New"/>
    </w:rPr>
  </w:style>
  <w:style w:type="paragraph" w:customStyle="1" w:styleId="inlinenormal">
    <w:name w:val="inlinenormal"/>
    <w:basedOn w:val="Normal"/>
    <w:rsid w:val="00CE58F0"/>
    <w:pPr>
      <w:autoSpaceDN w:val="0"/>
      <w:spacing w:before="120" w:after="60" w:line="264" w:lineRule="auto"/>
    </w:pPr>
    <w:rPr>
      <w:rFonts w:cs="Arial"/>
      <w:szCs w:val="24"/>
    </w:rPr>
  </w:style>
  <w:style w:type="table" w:customStyle="1" w:styleId="ColorfulList1">
    <w:name w:val="Colorful List1"/>
    <w:basedOn w:val="TableNormal"/>
    <w:uiPriority w:val="72"/>
    <w:rsid w:val="00CE58F0"/>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basedOn w:val="DefaultParagraphFont"/>
    <w:link w:val="ListParagraph"/>
    <w:uiPriority w:val="34"/>
    <w:locked/>
    <w:rsid w:val="00CE58F0"/>
    <w:rPr>
      <w:rFonts w:ascii="Arial" w:hAnsi="Arial"/>
      <w:sz w:val="24"/>
      <w:szCs w:val="24"/>
    </w:rPr>
  </w:style>
  <w:style w:type="paragraph" w:customStyle="1" w:styleId="Subject">
    <w:name w:val="Subject"/>
    <w:basedOn w:val="Normal"/>
    <w:rsid w:val="00CE58F0"/>
    <w:pPr>
      <w:overflowPunct w:val="0"/>
      <w:autoSpaceDE w:val="0"/>
      <w:autoSpaceDN w:val="0"/>
      <w:adjustRightInd w:val="0"/>
      <w:ind w:right="301"/>
      <w:textAlignment w:val="baseline"/>
    </w:pPr>
    <w:rPr>
      <w:rFonts w:ascii="Times New Roman" w:hAnsi="Times New Roman"/>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27863">
      <w:bodyDiv w:val="1"/>
      <w:marLeft w:val="0"/>
      <w:marRight w:val="0"/>
      <w:marTop w:val="0"/>
      <w:marBottom w:val="0"/>
      <w:divBdr>
        <w:top w:val="none" w:sz="0" w:space="0" w:color="auto"/>
        <w:left w:val="none" w:sz="0" w:space="0" w:color="auto"/>
        <w:bottom w:val="none" w:sz="0" w:space="0" w:color="auto"/>
        <w:right w:val="none" w:sz="0" w:space="0" w:color="auto"/>
      </w:divBdr>
    </w:div>
    <w:div w:id="239098218">
      <w:bodyDiv w:val="1"/>
      <w:marLeft w:val="0"/>
      <w:marRight w:val="0"/>
      <w:marTop w:val="0"/>
      <w:marBottom w:val="0"/>
      <w:divBdr>
        <w:top w:val="none" w:sz="0" w:space="0" w:color="auto"/>
        <w:left w:val="none" w:sz="0" w:space="0" w:color="auto"/>
        <w:bottom w:val="none" w:sz="0" w:space="0" w:color="auto"/>
        <w:right w:val="none" w:sz="0" w:space="0" w:color="auto"/>
      </w:divBdr>
    </w:div>
    <w:div w:id="262423916">
      <w:bodyDiv w:val="1"/>
      <w:marLeft w:val="0"/>
      <w:marRight w:val="0"/>
      <w:marTop w:val="0"/>
      <w:marBottom w:val="0"/>
      <w:divBdr>
        <w:top w:val="none" w:sz="0" w:space="0" w:color="auto"/>
        <w:left w:val="none" w:sz="0" w:space="0" w:color="auto"/>
        <w:bottom w:val="none" w:sz="0" w:space="0" w:color="auto"/>
        <w:right w:val="none" w:sz="0" w:space="0" w:color="auto"/>
      </w:divBdr>
    </w:div>
    <w:div w:id="268316706">
      <w:bodyDiv w:val="1"/>
      <w:marLeft w:val="0"/>
      <w:marRight w:val="0"/>
      <w:marTop w:val="0"/>
      <w:marBottom w:val="0"/>
      <w:divBdr>
        <w:top w:val="none" w:sz="0" w:space="0" w:color="auto"/>
        <w:left w:val="none" w:sz="0" w:space="0" w:color="auto"/>
        <w:bottom w:val="none" w:sz="0" w:space="0" w:color="auto"/>
        <w:right w:val="none" w:sz="0" w:space="0" w:color="auto"/>
      </w:divBdr>
    </w:div>
    <w:div w:id="308288901">
      <w:bodyDiv w:val="1"/>
      <w:marLeft w:val="0"/>
      <w:marRight w:val="0"/>
      <w:marTop w:val="0"/>
      <w:marBottom w:val="0"/>
      <w:divBdr>
        <w:top w:val="none" w:sz="0" w:space="0" w:color="auto"/>
        <w:left w:val="none" w:sz="0" w:space="0" w:color="auto"/>
        <w:bottom w:val="none" w:sz="0" w:space="0" w:color="auto"/>
        <w:right w:val="none" w:sz="0" w:space="0" w:color="auto"/>
      </w:divBdr>
    </w:div>
    <w:div w:id="316348597">
      <w:bodyDiv w:val="1"/>
      <w:marLeft w:val="0"/>
      <w:marRight w:val="0"/>
      <w:marTop w:val="0"/>
      <w:marBottom w:val="0"/>
      <w:divBdr>
        <w:top w:val="none" w:sz="0" w:space="0" w:color="auto"/>
        <w:left w:val="none" w:sz="0" w:space="0" w:color="auto"/>
        <w:bottom w:val="none" w:sz="0" w:space="0" w:color="auto"/>
        <w:right w:val="none" w:sz="0" w:space="0" w:color="auto"/>
      </w:divBdr>
    </w:div>
    <w:div w:id="440151891">
      <w:bodyDiv w:val="1"/>
      <w:marLeft w:val="0"/>
      <w:marRight w:val="0"/>
      <w:marTop w:val="0"/>
      <w:marBottom w:val="0"/>
      <w:divBdr>
        <w:top w:val="none" w:sz="0" w:space="0" w:color="auto"/>
        <w:left w:val="none" w:sz="0" w:space="0" w:color="auto"/>
        <w:bottom w:val="none" w:sz="0" w:space="0" w:color="auto"/>
        <w:right w:val="none" w:sz="0" w:space="0" w:color="auto"/>
      </w:divBdr>
    </w:div>
    <w:div w:id="572392383">
      <w:bodyDiv w:val="1"/>
      <w:marLeft w:val="0"/>
      <w:marRight w:val="0"/>
      <w:marTop w:val="0"/>
      <w:marBottom w:val="0"/>
      <w:divBdr>
        <w:top w:val="none" w:sz="0" w:space="0" w:color="auto"/>
        <w:left w:val="none" w:sz="0" w:space="0" w:color="auto"/>
        <w:bottom w:val="none" w:sz="0" w:space="0" w:color="auto"/>
        <w:right w:val="none" w:sz="0" w:space="0" w:color="auto"/>
      </w:divBdr>
    </w:div>
    <w:div w:id="597104158">
      <w:bodyDiv w:val="1"/>
      <w:marLeft w:val="0"/>
      <w:marRight w:val="0"/>
      <w:marTop w:val="0"/>
      <w:marBottom w:val="0"/>
      <w:divBdr>
        <w:top w:val="none" w:sz="0" w:space="0" w:color="auto"/>
        <w:left w:val="none" w:sz="0" w:space="0" w:color="auto"/>
        <w:bottom w:val="none" w:sz="0" w:space="0" w:color="auto"/>
        <w:right w:val="none" w:sz="0" w:space="0" w:color="auto"/>
      </w:divBdr>
    </w:div>
    <w:div w:id="604651892">
      <w:bodyDiv w:val="1"/>
      <w:marLeft w:val="0"/>
      <w:marRight w:val="0"/>
      <w:marTop w:val="0"/>
      <w:marBottom w:val="0"/>
      <w:divBdr>
        <w:top w:val="none" w:sz="0" w:space="0" w:color="auto"/>
        <w:left w:val="none" w:sz="0" w:space="0" w:color="auto"/>
        <w:bottom w:val="none" w:sz="0" w:space="0" w:color="auto"/>
        <w:right w:val="none" w:sz="0" w:space="0" w:color="auto"/>
      </w:divBdr>
    </w:div>
    <w:div w:id="817769271">
      <w:bodyDiv w:val="1"/>
      <w:marLeft w:val="0"/>
      <w:marRight w:val="0"/>
      <w:marTop w:val="0"/>
      <w:marBottom w:val="0"/>
      <w:divBdr>
        <w:top w:val="none" w:sz="0" w:space="0" w:color="auto"/>
        <w:left w:val="none" w:sz="0" w:space="0" w:color="auto"/>
        <w:bottom w:val="none" w:sz="0" w:space="0" w:color="auto"/>
        <w:right w:val="none" w:sz="0" w:space="0" w:color="auto"/>
      </w:divBdr>
    </w:div>
    <w:div w:id="849223587">
      <w:bodyDiv w:val="1"/>
      <w:marLeft w:val="0"/>
      <w:marRight w:val="0"/>
      <w:marTop w:val="0"/>
      <w:marBottom w:val="0"/>
      <w:divBdr>
        <w:top w:val="none" w:sz="0" w:space="0" w:color="auto"/>
        <w:left w:val="none" w:sz="0" w:space="0" w:color="auto"/>
        <w:bottom w:val="none" w:sz="0" w:space="0" w:color="auto"/>
        <w:right w:val="none" w:sz="0" w:space="0" w:color="auto"/>
      </w:divBdr>
    </w:div>
    <w:div w:id="928126449">
      <w:bodyDiv w:val="1"/>
      <w:marLeft w:val="0"/>
      <w:marRight w:val="0"/>
      <w:marTop w:val="0"/>
      <w:marBottom w:val="0"/>
      <w:divBdr>
        <w:top w:val="none" w:sz="0" w:space="0" w:color="auto"/>
        <w:left w:val="none" w:sz="0" w:space="0" w:color="auto"/>
        <w:bottom w:val="none" w:sz="0" w:space="0" w:color="auto"/>
        <w:right w:val="none" w:sz="0" w:space="0" w:color="auto"/>
      </w:divBdr>
    </w:div>
    <w:div w:id="956373614">
      <w:bodyDiv w:val="1"/>
      <w:marLeft w:val="0"/>
      <w:marRight w:val="0"/>
      <w:marTop w:val="0"/>
      <w:marBottom w:val="0"/>
      <w:divBdr>
        <w:top w:val="none" w:sz="0" w:space="0" w:color="auto"/>
        <w:left w:val="none" w:sz="0" w:space="0" w:color="auto"/>
        <w:bottom w:val="none" w:sz="0" w:space="0" w:color="auto"/>
        <w:right w:val="none" w:sz="0" w:space="0" w:color="auto"/>
      </w:divBdr>
    </w:div>
    <w:div w:id="1019359243">
      <w:bodyDiv w:val="1"/>
      <w:marLeft w:val="0"/>
      <w:marRight w:val="0"/>
      <w:marTop w:val="0"/>
      <w:marBottom w:val="0"/>
      <w:divBdr>
        <w:top w:val="none" w:sz="0" w:space="0" w:color="auto"/>
        <w:left w:val="none" w:sz="0" w:space="0" w:color="auto"/>
        <w:bottom w:val="none" w:sz="0" w:space="0" w:color="auto"/>
        <w:right w:val="none" w:sz="0" w:space="0" w:color="auto"/>
      </w:divBdr>
    </w:div>
    <w:div w:id="1105227903">
      <w:bodyDiv w:val="1"/>
      <w:marLeft w:val="0"/>
      <w:marRight w:val="0"/>
      <w:marTop w:val="0"/>
      <w:marBottom w:val="0"/>
      <w:divBdr>
        <w:top w:val="none" w:sz="0" w:space="0" w:color="auto"/>
        <w:left w:val="none" w:sz="0" w:space="0" w:color="auto"/>
        <w:bottom w:val="none" w:sz="0" w:space="0" w:color="auto"/>
        <w:right w:val="none" w:sz="0" w:space="0" w:color="auto"/>
      </w:divBdr>
    </w:div>
    <w:div w:id="1164931182">
      <w:bodyDiv w:val="1"/>
      <w:marLeft w:val="0"/>
      <w:marRight w:val="0"/>
      <w:marTop w:val="0"/>
      <w:marBottom w:val="0"/>
      <w:divBdr>
        <w:top w:val="none" w:sz="0" w:space="0" w:color="auto"/>
        <w:left w:val="none" w:sz="0" w:space="0" w:color="auto"/>
        <w:bottom w:val="none" w:sz="0" w:space="0" w:color="auto"/>
        <w:right w:val="none" w:sz="0" w:space="0" w:color="auto"/>
      </w:divBdr>
    </w:div>
    <w:div w:id="1395543684">
      <w:bodyDiv w:val="1"/>
      <w:marLeft w:val="0"/>
      <w:marRight w:val="0"/>
      <w:marTop w:val="0"/>
      <w:marBottom w:val="0"/>
      <w:divBdr>
        <w:top w:val="none" w:sz="0" w:space="0" w:color="auto"/>
        <w:left w:val="none" w:sz="0" w:space="0" w:color="auto"/>
        <w:bottom w:val="none" w:sz="0" w:space="0" w:color="auto"/>
        <w:right w:val="none" w:sz="0" w:space="0" w:color="auto"/>
      </w:divBdr>
    </w:div>
    <w:div w:id="1401517484">
      <w:bodyDiv w:val="1"/>
      <w:marLeft w:val="0"/>
      <w:marRight w:val="0"/>
      <w:marTop w:val="0"/>
      <w:marBottom w:val="0"/>
      <w:divBdr>
        <w:top w:val="none" w:sz="0" w:space="0" w:color="auto"/>
        <w:left w:val="none" w:sz="0" w:space="0" w:color="auto"/>
        <w:bottom w:val="none" w:sz="0" w:space="0" w:color="auto"/>
        <w:right w:val="none" w:sz="0" w:space="0" w:color="auto"/>
      </w:divBdr>
    </w:div>
    <w:div w:id="1407338342">
      <w:bodyDiv w:val="1"/>
      <w:marLeft w:val="0"/>
      <w:marRight w:val="0"/>
      <w:marTop w:val="0"/>
      <w:marBottom w:val="0"/>
      <w:divBdr>
        <w:top w:val="none" w:sz="0" w:space="0" w:color="auto"/>
        <w:left w:val="none" w:sz="0" w:space="0" w:color="auto"/>
        <w:bottom w:val="none" w:sz="0" w:space="0" w:color="auto"/>
        <w:right w:val="none" w:sz="0" w:space="0" w:color="auto"/>
      </w:divBdr>
    </w:div>
    <w:div w:id="1426733802">
      <w:bodyDiv w:val="1"/>
      <w:marLeft w:val="0"/>
      <w:marRight w:val="0"/>
      <w:marTop w:val="0"/>
      <w:marBottom w:val="0"/>
      <w:divBdr>
        <w:top w:val="none" w:sz="0" w:space="0" w:color="auto"/>
        <w:left w:val="none" w:sz="0" w:space="0" w:color="auto"/>
        <w:bottom w:val="none" w:sz="0" w:space="0" w:color="auto"/>
        <w:right w:val="none" w:sz="0" w:space="0" w:color="auto"/>
      </w:divBdr>
    </w:div>
    <w:div w:id="1633633191">
      <w:bodyDiv w:val="1"/>
      <w:marLeft w:val="0"/>
      <w:marRight w:val="0"/>
      <w:marTop w:val="0"/>
      <w:marBottom w:val="0"/>
      <w:divBdr>
        <w:top w:val="none" w:sz="0" w:space="0" w:color="auto"/>
        <w:left w:val="none" w:sz="0" w:space="0" w:color="auto"/>
        <w:bottom w:val="none" w:sz="0" w:space="0" w:color="auto"/>
        <w:right w:val="none" w:sz="0" w:space="0" w:color="auto"/>
      </w:divBdr>
    </w:div>
    <w:div w:id="1767579402">
      <w:bodyDiv w:val="1"/>
      <w:marLeft w:val="0"/>
      <w:marRight w:val="0"/>
      <w:marTop w:val="0"/>
      <w:marBottom w:val="0"/>
      <w:divBdr>
        <w:top w:val="none" w:sz="0" w:space="0" w:color="auto"/>
        <w:left w:val="none" w:sz="0" w:space="0" w:color="auto"/>
        <w:bottom w:val="none" w:sz="0" w:space="0" w:color="auto"/>
        <w:right w:val="none" w:sz="0" w:space="0" w:color="auto"/>
      </w:divBdr>
    </w:div>
    <w:div w:id="1776049712">
      <w:bodyDiv w:val="1"/>
      <w:marLeft w:val="0"/>
      <w:marRight w:val="0"/>
      <w:marTop w:val="0"/>
      <w:marBottom w:val="0"/>
      <w:divBdr>
        <w:top w:val="none" w:sz="0" w:space="0" w:color="auto"/>
        <w:left w:val="none" w:sz="0" w:space="0" w:color="auto"/>
        <w:bottom w:val="none" w:sz="0" w:space="0" w:color="auto"/>
        <w:right w:val="none" w:sz="0" w:space="0" w:color="auto"/>
      </w:divBdr>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
    <w:div w:id="1853570494">
      <w:bodyDiv w:val="1"/>
      <w:marLeft w:val="0"/>
      <w:marRight w:val="0"/>
      <w:marTop w:val="0"/>
      <w:marBottom w:val="0"/>
      <w:divBdr>
        <w:top w:val="none" w:sz="0" w:space="0" w:color="auto"/>
        <w:left w:val="none" w:sz="0" w:space="0" w:color="auto"/>
        <w:bottom w:val="none" w:sz="0" w:space="0" w:color="auto"/>
        <w:right w:val="none" w:sz="0" w:space="0" w:color="auto"/>
      </w:divBdr>
    </w:div>
    <w:div w:id="1864980799">
      <w:bodyDiv w:val="1"/>
      <w:marLeft w:val="0"/>
      <w:marRight w:val="0"/>
      <w:marTop w:val="0"/>
      <w:marBottom w:val="0"/>
      <w:divBdr>
        <w:top w:val="none" w:sz="0" w:space="0" w:color="auto"/>
        <w:left w:val="none" w:sz="0" w:space="0" w:color="auto"/>
        <w:bottom w:val="none" w:sz="0" w:space="0" w:color="auto"/>
        <w:right w:val="none" w:sz="0" w:space="0" w:color="auto"/>
      </w:divBdr>
    </w:div>
    <w:div w:id="1887598706">
      <w:bodyDiv w:val="1"/>
      <w:marLeft w:val="0"/>
      <w:marRight w:val="0"/>
      <w:marTop w:val="0"/>
      <w:marBottom w:val="0"/>
      <w:divBdr>
        <w:top w:val="none" w:sz="0" w:space="0" w:color="auto"/>
        <w:left w:val="none" w:sz="0" w:space="0" w:color="auto"/>
        <w:bottom w:val="none" w:sz="0" w:space="0" w:color="auto"/>
        <w:right w:val="none" w:sz="0" w:space="0" w:color="auto"/>
      </w:divBdr>
    </w:div>
    <w:div w:id="1887713590">
      <w:bodyDiv w:val="1"/>
      <w:marLeft w:val="0"/>
      <w:marRight w:val="0"/>
      <w:marTop w:val="0"/>
      <w:marBottom w:val="0"/>
      <w:divBdr>
        <w:top w:val="none" w:sz="0" w:space="0" w:color="auto"/>
        <w:left w:val="none" w:sz="0" w:space="0" w:color="auto"/>
        <w:bottom w:val="none" w:sz="0" w:space="0" w:color="auto"/>
        <w:right w:val="none" w:sz="0" w:space="0" w:color="auto"/>
      </w:divBdr>
    </w:div>
    <w:div w:id="2066678498">
      <w:bodyDiv w:val="1"/>
      <w:marLeft w:val="0"/>
      <w:marRight w:val="0"/>
      <w:marTop w:val="0"/>
      <w:marBottom w:val="0"/>
      <w:divBdr>
        <w:top w:val="none" w:sz="0" w:space="0" w:color="auto"/>
        <w:left w:val="none" w:sz="0" w:space="0" w:color="auto"/>
        <w:bottom w:val="none" w:sz="0" w:space="0" w:color="auto"/>
        <w:right w:val="none" w:sz="0" w:space="0" w:color="auto"/>
      </w:divBdr>
    </w:div>
    <w:div w:id="2097940768">
      <w:bodyDiv w:val="1"/>
      <w:marLeft w:val="0"/>
      <w:marRight w:val="0"/>
      <w:marTop w:val="0"/>
      <w:marBottom w:val="0"/>
      <w:divBdr>
        <w:top w:val="none" w:sz="0" w:space="0" w:color="auto"/>
        <w:left w:val="none" w:sz="0" w:space="0" w:color="auto"/>
        <w:bottom w:val="none" w:sz="0" w:space="0" w:color="auto"/>
        <w:right w:val="none" w:sz="0" w:space="0" w:color="auto"/>
      </w:divBdr>
    </w:div>
    <w:div w:id="214507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mgintranet/documents/s31688/Appendix%20A.pdf" TargetMode="External"/><Relationship Id="rId26" Type="http://schemas.openxmlformats.org/officeDocument/2006/relationships/image" Target="media/image10.png"/><Relationship Id="rId39" Type="http://schemas.openxmlformats.org/officeDocument/2006/relationships/hyperlink" Target="file:///\\corpdata02\res\Finance\TreasMan\Pension%20Fund\Accounting\Year\12-13\Annual%20report\andrew.fox@lancashire.gov.uk"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yourpensionservice.org.uk"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mailto:mike.jensen@lancashire.gov.uk" TargetMode="External"/><Relationship Id="rId2" Type="http://schemas.openxmlformats.org/officeDocument/2006/relationships/customXml" Target="../customXml/item2.xml"/><Relationship Id="rId16" Type="http://schemas.openxmlformats.org/officeDocument/2006/relationships/hyperlink" Target="http://www.yourpensionservice.org.uk/web/viewdoc.asp?id=72142"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rpensionservice.org.uk/local_government/index.asp?siteid=5921&amp;pageid=33736&amp;e=e" TargetMode="External"/><Relationship Id="rId24" Type="http://schemas.openxmlformats.org/officeDocument/2006/relationships/image" Target="media/image8.png"/><Relationship Id="rId32" Type="http://schemas.openxmlformats.org/officeDocument/2006/relationships/hyperlink" Target="http://www.yourpensionservice.org.uk/local_government/index.asp?siteid=5921&amp;pageid=33736&amp;e=e" TargetMode="External"/><Relationship Id="rId37" Type="http://schemas.openxmlformats.org/officeDocument/2006/relationships/hyperlink" Target="mailto:abigail.leech@lancashire.gov.uk"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ourpensionservice.org.uk/web/viewdoc.asp?id=64645" TargetMode="External"/><Relationship Id="rId23" Type="http://schemas.openxmlformats.org/officeDocument/2006/relationships/hyperlink" Target="http://www.yourpensionservice.org.uk/web/viewdoc.asp?id=64641" TargetMode="External"/><Relationship Id="rId28" Type="http://schemas.openxmlformats.org/officeDocument/2006/relationships/image" Target="media/image12.png"/><Relationship Id="rId36" Type="http://schemas.openxmlformats.org/officeDocument/2006/relationships/hyperlink" Target="http://www.yourpensionservice.org.uk" TargetMode="External"/><Relationship Id="rId10" Type="http://schemas.openxmlformats.org/officeDocument/2006/relationships/image" Target="media/image2.png"/><Relationship Id="rId19" Type="http://schemas.openxmlformats.org/officeDocument/2006/relationships/hyperlink" Target="http://www.yourpensionservice.org.uk/local_government/index.asp?siteid=5921&amp;pageid=33736&amp;e=e" TargetMode="External"/><Relationship Id="rId31" Type="http://schemas.openxmlformats.org/officeDocument/2006/relationships/hyperlink" Target="https://www.yourpensionservice.org.uk/local_government/index.asp?siteid=5921&amp;pageid=33736&amp;e=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yourpensionservice.org.uk/local_government/index.asp?siteid=5921&amp;pageid=33736&amp;e=e"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4864864864866"/>
          <c:y val="8.2804467255358269E-2"/>
          <c:w val="0.64864864864867611"/>
          <c:h val="0.78191887957325168"/>
        </c:manualLayout>
      </c:layout>
      <c:barChart>
        <c:barDir val="col"/>
        <c:grouping val="stacked"/>
        <c:varyColors val="0"/>
        <c:ser>
          <c:idx val="0"/>
          <c:order val="0"/>
          <c:tx>
            <c:strRef>
              <c:f>Sheet1!$A$2</c:f>
              <c:strCache>
                <c:ptCount val="1"/>
                <c:pt idx="0">
                  <c:v>Assets</c:v>
                </c:pt>
              </c:strCache>
            </c:strRef>
          </c:tx>
          <c:spPr>
            <a:solidFill>
              <a:srgbClr val="86C100"/>
            </a:solidFill>
            <a:ln w="25399">
              <a:noFill/>
            </a:ln>
          </c:spPr>
          <c:invertIfNegative val="0"/>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Assets</c:v>
                </c:pt>
                <c:pt idx="1">
                  <c:v>Liability value</c:v>
                </c:pt>
                <c:pt idx="2">
                  <c:v>Assets</c:v>
                </c:pt>
                <c:pt idx="3">
                  <c:v>Liability value</c:v>
                </c:pt>
              </c:strCache>
            </c:strRef>
          </c:cat>
          <c:val>
            <c:numRef>
              <c:f>Sheet1!$B$2:$E$2</c:f>
              <c:numCache>
                <c:formatCode>General</c:formatCode>
                <c:ptCount val="4"/>
                <c:pt idx="0" formatCode="#,##0">
                  <c:v>3962</c:v>
                </c:pt>
                <c:pt idx="2" formatCode="#,##0">
                  <c:v>3689</c:v>
                </c:pt>
              </c:numCache>
            </c:numRef>
          </c:val>
        </c:ser>
        <c:ser>
          <c:idx val="2"/>
          <c:order val="1"/>
          <c:tx>
            <c:strRef>
              <c:f>Sheet1!$A$4</c:f>
              <c:strCache>
                <c:ptCount val="1"/>
                <c:pt idx="0">
                  <c:v>Pensioners</c:v>
                </c:pt>
              </c:strCache>
            </c:strRef>
          </c:tx>
          <c:spPr>
            <a:solidFill>
              <a:srgbClr val="FCC917"/>
            </a:solidFill>
            <a:ln w="25399">
              <a:noFill/>
            </a:ln>
          </c:spPr>
          <c:invertIfNegative val="0"/>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Assets</c:v>
                </c:pt>
                <c:pt idx="1">
                  <c:v>Liability value</c:v>
                </c:pt>
                <c:pt idx="2">
                  <c:v>Assets</c:v>
                </c:pt>
                <c:pt idx="3">
                  <c:v>Liability value</c:v>
                </c:pt>
              </c:strCache>
            </c:strRef>
          </c:cat>
          <c:val>
            <c:numRef>
              <c:f>Sheet1!$B$4:$E$4</c:f>
              <c:numCache>
                <c:formatCode>#,##0</c:formatCode>
                <c:ptCount val="4"/>
                <c:pt idx="1">
                  <c:v>2120</c:v>
                </c:pt>
                <c:pt idx="3">
                  <c:v>1841</c:v>
                </c:pt>
              </c:numCache>
            </c:numRef>
          </c:val>
        </c:ser>
        <c:ser>
          <c:idx val="3"/>
          <c:order val="2"/>
          <c:tx>
            <c:strRef>
              <c:f>Sheet1!$A$5</c:f>
              <c:strCache>
                <c:ptCount val="1"/>
                <c:pt idx="0">
                  <c:v>Deferred members</c:v>
                </c:pt>
              </c:strCache>
            </c:strRef>
          </c:tx>
          <c:spPr>
            <a:solidFill>
              <a:srgbClr val="FF6400"/>
            </a:solidFill>
            <a:ln w="25399">
              <a:noFill/>
            </a:ln>
          </c:spPr>
          <c:invertIfNegative val="0"/>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Assets</c:v>
                </c:pt>
                <c:pt idx="1">
                  <c:v>Liability value</c:v>
                </c:pt>
                <c:pt idx="2">
                  <c:v>Assets</c:v>
                </c:pt>
                <c:pt idx="3">
                  <c:v>Liability value</c:v>
                </c:pt>
              </c:strCache>
            </c:strRef>
          </c:cat>
          <c:val>
            <c:numRef>
              <c:f>Sheet1!$B$5:$E$5</c:f>
              <c:numCache>
                <c:formatCode>#,##0</c:formatCode>
                <c:ptCount val="4"/>
                <c:pt idx="1">
                  <c:v>614</c:v>
                </c:pt>
                <c:pt idx="3">
                  <c:v>476</c:v>
                </c:pt>
              </c:numCache>
            </c:numRef>
          </c:val>
        </c:ser>
        <c:ser>
          <c:idx val="4"/>
          <c:order val="3"/>
          <c:tx>
            <c:strRef>
              <c:f>Sheet1!$A$6</c:f>
              <c:strCache>
                <c:ptCount val="1"/>
                <c:pt idx="0">
                  <c:v>Active members</c:v>
                </c:pt>
              </c:strCache>
            </c:strRef>
          </c:tx>
          <c:spPr>
            <a:solidFill>
              <a:srgbClr val="0057A6"/>
            </a:solidFill>
            <a:ln w="25399">
              <a:noFill/>
            </a:ln>
          </c:spPr>
          <c:invertIfNegative val="0"/>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Assets</c:v>
                </c:pt>
                <c:pt idx="1">
                  <c:v>Liability value</c:v>
                </c:pt>
                <c:pt idx="2">
                  <c:v>Assets</c:v>
                </c:pt>
                <c:pt idx="3">
                  <c:v>Liability value</c:v>
                </c:pt>
              </c:strCache>
            </c:strRef>
          </c:cat>
          <c:val>
            <c:numRef>
              <c:f>Sheet1!$B$6:$E$6</c:f>
              <c:numCache>
                <c:formatCode>#,##0</c:formatCode>
                <c:ptCount val="4"/>
                <c:pt idx="1">
                  <c:v>2221</c:v>
                </c:pt>
                <c:pt idx="3">
                  <c:v>2082</c:v>
                </c:pt>
              </c:numCache>
            </c:numRef>
          </c:val>
        </c:ser>
        <c:dLbls>
          <c:showLegendKey val="0"/>
          <c:showVal val="0"/>
          <c:showCatName val="0"/>
          <c:showSerName val="0"/>
          <c:showPercent val="0"/>
          <c:showBubbleSize val="0"/>
        </c:dLbls>
        <c:gapWidth val="120"/>
        <c:overlap val="100"/>
        <c:axId val="142008488"/>
        <c:axId val="142024784"/>
      </c:barChart>
      <c:catAx>
        <c:axId val="142008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42024784"/>
        <c:crosses val="autoZero"/>
        <c:auto val="1"/>
        <c:lblAlgn val="ctr"/>
        <c:lblOffset val="100"/>
        <c:tickLblSkip val="1"/>
        <c:tickMarkSkip val="1"/>
        <c:noMultiLvlLbl val="0"/>
      </c:catAx>
      <c:valAx>
        <c:axId val="14202478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GB"/>
                  <a:t>£m</a:t>
                </a:r>
              </a:p>
            </c:rich>
          </c:tx>
          <c:layout>
            <c:manualLayout>
              <c:xMode val="edge"/>
              <c:yMode val="edge"/>
              <c:x val="1.9305019305019745E-2"/>
              <c:y val="0.38139534883720932"/>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42008488"/>
        <c:crosses val="autoZero"/>
        <c:crossBetween val="between"/>
      </c:valAx>
      <c:spPr>
        <a:noFill/>
        <a:ln w="25399">
          <a:noFill/>
        </a:ln>
      </c:spPr>
    </c:plotArea>
    <c:legend>
      <c:legendPos val="r"/>
      <c:layout>
        <c:manualLayout>
          <c:xMode val="edge"/>
          <c:yMode val="edge"/>
          <c:x val="0.76254826254828156"/>
          <c:y val="0.23720930232558141"/>
          <c:w val="0.23745173745174059"/>
          <c:h val="0.44651162790697685"/>
        </c:manualLayout>
      </c:layout>
      <c:overlay val="0"/>
      <c:spPr>
        <a:noFill/>
        <a:ln w="25399">
          <a:noFill/>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700">
      <a:solidFill>
        <a:srgbClr val="FFFFFF"/>
      </a:solidFill>
      <a:prstDash val="solid"/>
    </a:ln>
  </c:spPr>
  <c:txPr>
    <a:bodyPr/>
    <a:lstStyle/>
    <a:p>
      <a:pPr>
        <a:defRPr sz="95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ADF5FF-BAA4-4649-9CD6-EF71A43E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74</Pages>
  <Words>20385</Words>
  <Characters>114455</Characters>
  <Application>Microsoft Office Word</Application>
  <DocSecurity>0</DocSecurity>
  <Lines>953</Lines>
  <Paragraphs>269</Paragraphs>
  <ScaleCrop>false</ScaleCrop>
  <HeadingPairs>
    <vt:vector size="2" baseType="variant">
      <vt:variant>
        <vt:lpstr>Title</vt:lpstr>
      </vt:variant>
      <vt:variant>
        <vt:i4>1</vt:i4>
      </vt:variant>
    </vt:vector>
  </HeadingPairs>
  <TitlesOfParts>
    <vt:vector size="1" baseType="lpstr">
      <vt:lpstr>Annual Report</vt:lpstr>
    </vt:vector>
  </TitlesOfParts>
  <Company>Lancashire County Pension Fund</Company>
  <LinksUpToDate>false</LinksUpToDate>
  <CharactersWithSpaces>134571</CharactersWithSpaces>
  <SharedDoc>false</SharedDoc>
  <HLinks>
    <vt:vector size="6" baseType="variant">
      <vt:variant>
        <vt:i4>5439497</vt:i4>
      </vt:variant>
      <vt:variant>
        <vt:i4>6</vt:i4>
      </vt:variant>
      <vt:variant>
        <vt:i4>0</vt:i4>
      </vt:variant>
      <vt:variant>
        <vt:i4>5</vt:i4>
      </vt:variant>
      <vt:variant>
        <vt:lpwstr>http://pensions/documents/valuation 2007 Full Report.pdf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2012 / 13</dc:subject>
  <dc:creator>hgallacher001</dc:creator>
  <cp:keywords/>
  <dc:description/>
  <cp:lastModifiedBy>Mather, Chris</cp:lastModifiedBy>
  <cp:revision>3</cp:revision>
  <cp:lastPrinted>2014-08-19T08:22:00Z</cp:lastPrinted>
  <dcterms:created xsi:type="dcterms:W3CDTF">2014-08-20T12:55:00Z</dcterms:created>
  <dcterms:modified xsi:type="dcterms:W3CDTF">2014-08-26T11:15:00Z</dcterms:modified>
</cp:coreProperties>
</file>